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41" w:rsidRPr="00081678" w:rsidRDefault="001C1241" w:rsidP="001C1241">
      <w:pPr>
        <w:spacing w:before="2040"/>
        <w:jc w:val="center"/>
        <w:rPr>
          <w:b/>
          <w:sz w:val="40"/>
          <w:szCs w:val="40"/>
        </w:rPr>
      </w:pPr>
      <w:bookmarkStart w:id="0" w:name="_GoBack"/>
      <w:bookmarkEnd w:id="0"/>
      <w:r w:rsidRPr="00081678">
        <w:rPr>
          <w:b/>
          <w:sz w:val="40"/>
          <w:szCs w:val="40"/>
        </w:rPr>
        <w:t>Blind and Low Vision Education Network NZ</w:t>
      </w:r>
    </w:p>
    <w:p w:rsidR="001C1241" w:rsidRPr="00081678" w:rsidRDefault="001C1241" w:rsidP="001C1241">
      <w:pPr>
        <w:pStyle w:val="Title"/>
        <w:rPr>
          <w:sz w:val="40"/>
          <w:szCs w:val="40"/>
        </w:rPr>
      </w:pPr>
    </w:p>
    <w:p w:rsidR="001C1241" w:rsidRPr="00081678" w:rsidRDefault="001C1241" w:rsidP="001C1241">
      <w:pPr>
        <w:jc w:val="center"/>
        <w:rPr>
          <w:b/>
          <w:sz w:val="40"/>
          <w:szCs w:val="40"/>
        </w:rPr>
      </w:pPr>
      <w:r w:rsidRPr="00081678">
        <w:rPr>
          <w:b/>
          <w:sz w:val="40"/>
          <w:szCs w:val="40"/>
        </w:rPr>
        <w:t>Te Kotuituinga Matauranga Pura O Aotearoa</w:t>
      </w:r>
    </w:p>
    <w:p w:rsidR="001C1241" w:rsidRPr="00081678" w:rsidRDefault="001C1241" w:rsidP="001C1241">
      <w:pPr>
        <w:pStyle w:val="Title"/>
        <w:rPr>
          <w:sz w:val="40"/>
          <w:szCs w:val="40"/>
        </w:rPr>
      </w:pPr>
    </w:p>
    <w:p w:rsidR="001C1241" w:rsidRPr="00081678" w:rsidRDefault="001C1241" w:rsidP="00835413">
      <w:pPr>
        <w:pStyle w:val="Heading2"/>
      </w:pPr>
    </w:p>
    <w:p w:rsidR="001C1241" w:rsidRPr="00081678" w:rsidRDefault="001C1241" w:rsidP="001C1241">
      <w:pPr>
        <w:jc w:val="center"/>
        <w:rPr>
          <w:b/>
          <w:sz w:val="36"/>
          <w:szCs w:val="36"/>
        </w:rPr>
      </w:pPr>
      <w:r w:rsidRPr="00081678">
        <w:rPr>
          <w:b/>
          <w:sz w:val="36"/>
          <w:szCs w:val="36"/>
        </w:rPr>
        <w:t>A National Network of Services for Children and Young People</w:t>
      </w:r>
    </w:p>
    <w:p w:rsidR="001C1241" w:rsidRPr="00081678" w:rsidRDefault="001C1241" w:rsidP="001C1241">
      <w:pPr>
        <w:pStyle w:val="Title"/>
        <w:rPr>
          <w:sz w:val="40"/>
          <w:szCs w:val="40"/>
        </w:rPr>
      </w:pPr>
    </w:p>
    <w:p w:rsidR="001C1241" w:rsidRPr="00081678" w:rsidRDefault="001C1241" w:rsidP="001C1241">
      <w:pPr>
        <w:pStyle w:val="Title"/>
        <w:rPr>
          <w:sz w:val="40"/>
          <w:szCs w:val="40"/>
        </w:rPr>
      </w:pPr>
      <w:r w:rsidRPr="00081678">
        <w:rPr>
          <w:noProof/>
          <w:sz w:val="40"/>
          <w:szCs w:val="40"/>
          <w:lang w:val="en-US"/>
        </w:rPr>
        <w:drawing>
          <wp:inline distT="0" distB="0" distL="0" distR="0" wp14:anchorId="0153CC82" wp14:editId="06D95B44">
            <wp:extent cx="1628775" cy="1628775"/>
            <wp:effectExtent l="0" t="0" r="9525" b="9525"/>
            <wp:docPr id="1" name="Picture 1" descr="Blen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High Resolut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197" cy="1630197"/>
                    </a:xfrm>
                    <a:prstGeom prst="rect">
                      <a:avLst/>
                    </a:prstGeom>
                  </pic:spPr>
                </pic:pic>
              </a:graphicData>
            </a:graphic>
          </wp:inline>
        </w:drawing>
      </w:r>
    </w:p>
    <w:p w:rsidR="001C1241" w:rsidRPr="00081678" w:rsidRDefault="001C1241" w:rsidP="001C1241">
      <w:pPr>
        <w:pStyle w:val="Title"/>
        <w:rPr>
          <w:sz w:val="40"/>
          <w:szCs w:val="40"/>
        </w:rPr>
      </w:pPr>
    </w:p>
    <w:p w:rsidR="001C1241" w:rsidRDefault="001C1241" w:rsidP="001C1241">
      <w:pPr>
        <w:jc w:val="center"/>
        <w:rPr>
          <w:b/>
          <w:sz w:val="40"/>
          <w:szCs w:val="40"/>
        </w:rPr>
      </w:pPr>
      <w:r w:rsidRPr="00081678">
        <w:rPr>
          <w:b/>
          <w:sz w:val="40"/>
          <w:szCs w:val="40"/>
        </w:rPr>
        <w:t>201</w:t>
      </w:r>
      <w:r>
        <w:rPr>
          <w:b/>
          <w:sz w:val="40"/>
          <w:szCs w:val="40"/>
        </w:rPr>
        <w:t>8</w:t>
      </w:r>
      <w:r w:rsidRPr="00081678">
        <w:rPr>
          <w:b/>
          <w:sz w:val="40"/>
          <w:szCs w:val="40"/>
        </w:rPr>
        <w:t xml:space="preserve"> Charter</w:t>
      </w:r>
    </w:p>
    <w:p w:rsidR="001C1241" w:rsidRDefault="001C1241">
      <w:pPr>
        <w:rPr>
          <w:b/>
          <w:sz w:val="40"/>
          <w:szCs w:val="40"/>
        </w:rPr>
      </w:pPr>
      <w:r>
        <w:rPr>
          <w:b/>
          <w:sz w:val="40"/>
          <w:szCs w:val="40"/>
        </w:rPr>
        <w:br w:type="page"/>
      </w:r>
    </w:p>
    <w:p w:rsidR="001C1241" w:rsidRDefault="001C1241" w:rsidP="00AC32D9">
      <w:pPr>
        <w:pStyle w:val="Heading1"/>
        <w:ind w:left="0"/>
      </w:pPr>
      <w:bookmarkStart w:id="1" w:name="_Toc506273921"/>
      <w:bookmarkStart w:id="2" w:name="_Toc506295585"/>
      <w:r w:rsidRPr="00F5316B">
        <w:lastRenderedPageBreak/>
        <w:t>Strategic Overview</w:t>
      </w:r>
      <w:bookmarkEnd w:id="1"/>
      <w:bookmarkEnd w:id="2"/>
    </w:p>
    <w:tbl>
      <w:tblPr>
        <w:tblStyle w:val="TableGrid"/>
        <w:tblW w:w="15570" w:type="dxa"/>
        <w:tblInd w:w="-545" w:type="dxa"/>
        <w:tblLook w:val="04A0" w:firstRow="1" w:lastRow="0" w:firstColumn="1" w:lastColumn="0" w:noHBand="0" w:noVBand="1"/>
        <w:tblDescription w:val="Vision"/>
      </w:tblPr>
      <w:tblGrid>
        <w:gridCol w:w="15570"/>
      </w:tblGrid>
      <w:tr w:rsidR="001C1241" w:rsidRPr="00F5316B" w:rsidTr="0055034D">
        <w:trPr>
          <w:trHeight w:val="697"/>
          <w:tblHeader/>
        </w:trPr>
        <w:tc>
          <w:tcPr>
            <w:tcW w:w="15570" w:type="dxa"/>
            <w:tcBorders>
              <w:top w:val="single" w:sz="4" w:space="0" w:color="B4C6E7" w:themeColor="accent5" w:themeTint="66"/>
              <w:left w:val="single" w:sz="4" w:space="0" w:color="B4C6E7" w:themeColor="accent5" w:themeTint="66"/>
              <w:bottom w:val="nil"/>
              <w:right w:val="single" w:sz="4" w:space="0" w:color="B4C6E7" w:themeColor="accent5" w:themeTint="66"/>
            </w:tcBorders>
            <w:shd w:val="clear" w:color="auto" w:fill="B4C6E7" w:themeFill="accent5" w:themeFillTint="66"/>
          </w:tcPr>
          <w:p w:rsidR="001C1241" w:rsidRPr="00E959A9" w:rsidRDefault="001C1241" w:rsidP="00BE4143">
            <w:pPr>
              <w:rPr>
                <w:noProof/>
              </w:rPr>
            </w:pPr>
            <w:r w:rsidRPr="00662429">
              <w:rPr>
                <w:b/>
                <w:sz w:val="32"/>
              </w:rPr>
              <w:t>Vision</w:t>
            </w:r>
            <w:r>
              <w:rPr>
                <w:noProof/>
              </w:rPr>
              <w:t xml:space="preserve"> </w:t>
            </w:r>
            <w:r w:rsidRPr="00B01F30">
              <w:rPr>
                <w:b/>
              </w:rPr>
              <w:t xml:space="preserve">- Every BLENNZ </w:t>
            </w:r>
            <w:r>
              <w:rPr>
                <w:b/>
              </w:rPr>
              <w:t>ākonga</w:t>
            </w:r>
            <w:r w:rsidRPr="00B01F30">
              <w:rPr>
                <w:b/>
              </w:rPr>
              <w:t xml:space="preserve"> is well prepared to achieve in life</w:t>
            </w:r>
          </w:p>
        </w:tc>
      </w:tr>
      <w:tr w:rsidR="001C1241" w:rsidRPr="00F5316B" w:rsidTr="0055034D">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none" w:sz="0" w:space="0" w:color="auto"/>
            <w:insideV w:val="none" w:sz="0" w:space="0" w:color="auto"/>
          </w:tblBorders>
        </w:tblPrEx>
        <w:trPr>
          <w:tblHeader/>
        </w:trPr>
        <w:tc>
          <w:tcPr>
            <w:tcW w:w="15570" w:type="dxa"/>
            <w:shd w:val="clear" w:color="auto" w:fill="B4C6E7" w:themeFill="accent5" w:themeFillTint="66"/>
          </w:tcPr>
          <w:p w:rsidR="001C1241" w:rsidRDefault="001C1241" w:rsidP="00BE4143">
            <w:pPr>
              <w:ind w:left="-30"/>
              <w:rPr>
                <w:rFonts w:cs="Arial"/>
                <w:b/>
              </w:rPr>
            </w:pPr>
            <w:r w:rsidRPr="00662429">
              <w:rPr>
                <w:b/>
                <w:sz w:val="32"/>
              </w:rPr>
              <w:t>Mission</w:t>
            </w:r>
            <w:r>
              <w:rPr>
                <w:rFonts w:cs="Arial"/>
                <w:b/>
              </w:rPr>
              <w:t xml:space="preserve"> - </w:t>
            </w:r>
            <w:r w:rsidRPr="00F5316B">
              <w:rPr>
                <w:rFonts w:cs="Arial"/>
                <w:b/>
              </w:rPr>
              <w:t xml:space="preserve">To enable </w:t>
            </w:r>
            <w:r>
              <w:rPr>
                <w:rFonts w:cs="Arial"/>
                <w:b/>
              </w:rPr>
              <w:t xml:space="preserve">ākonga </w:t>
            </w:r>
            <w:r w:rsidRPr="00F5316B">
              <w:rPr>
                <w:rFonts w:cs="Arial"/>
                <w:b/>
              </w:rPr>
              <w:t>who are blind, deafblind or have low vision to reach their full potential, BLENNZ provides quality education and specialist teaching services in partnership with whānau, educators and the wider community</w:t>
            </w:r>
          </w:p>
          <w:p w:rsidR="001C1241" w:rsidRPr="00F5316B" w:rsidRDefault="001C1241" w:rsidP="00BE4143">
            <w:pPr>
              <w:ind w:left="-30"/>
              <w:rPr>
                <w:rFonts w:cs="Arial"/>
                <w:b/>
              </w:rPr>
            </w:pPr>
          </w:p>
        </w:tc>
      </w:tr>
    </w:tbl>
    <w:p w:rsidR="008A4AC2" w:rsidRDefault="008A4AC2"/>
    <w:tbl>
      <w:tblPr>
        <w:tblStyle w:val="TableGrid"/>
        <w:tblW w:w="15570" w:type="dxa"/>
        <w:tblInd w:w="-545" w:type="dxa"/>
        <w:tblLook w:val="04A0" w:firstRow="1" w:lastRow="0" w:firstColumn="1" w:lastColumn="0" w:noHBand="0" w:noVBand="1"/>
        <w:tblDescription w:val="Vision"/>
      </w:tblPr>
      <w:tblGrid>
        <w:gridCol w:w="4140"/>
        <w:gridCol w:w="11430"/>
      </w:tblGrid>
      <w:tr w:rsidR="001C1241" w:rsidRPr="00F5316B" w:rsidTr="0055034D">
        <w:trPr>
          <w:trHeight w:val="620"/>
          <w:tblHeader/>
        </w:trPr>
        <w:tc>
          <w:tcPr>
            <w:tcW w:w="414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B4C6E7" w:themeFill="accent5" w:themeFillTint="66"/>
          </w:tcPr>
          <w:p w:rsidR="001C1241" w:rsidRPr="00662429" w:rsidRDefault="001C1241" w:rsidP="00BE4143">
            <w:pPr>
              <w:rPr>
                <w:b/>
              </w:rPr>
            </w:pPr>
            <w:r w:rsidRPr="00662429">
              <w:rPr>
                <w:b/>
                <w:sz w:val="32"/>
              </w:rPr>
              <w:t>Beliefs</w:t>
            </w:r>
          </w:p>
        </w:tc>
        <w:tc>
          <w:tcPr>
            <w:tcW w:w="1143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B4C6E7" w:themeFill="accent5" w:themeFillTint="66"/>
          </w:tcPr>
          <w:p w:rsidR="001C1241" w:rsidRPr="00662429" w:rsidRDefault="001C1241" w:rsidP="00BE4143">
            <w:pPr>
              <w:rPr>
                <w:b/>
              </w:rPr>
            </w:pPr>
            <w:r w:rsidRPr="00662429">
              <w:rPr>
                <w:b/>
                <w:sz w:val="32"/>
              </w:rPr>
              <w:t>Values</w:t>
            </w:r>
          </w:p>
        </w:tc>
      </w:tr>
      <w:tr w:rsidR="001C1241" w:rsidRPr="00F5316B" w:rsidTr="0055034D">
        <w:trPr>
          <w:tblHeader/>
        </w:trPr>
        <w:tc>
          <w:tcPr>
            <w:tcW w:w="4140" w:type="dxa"/>
            <w:tcBorders>
              <w:top w:val="single" w:sz="4" w:space="0" w:color="B4C6E7" w:themeColor="accent5" w:themeTint="66"/>
              <w:left w:val="nil"/>
              <w:bottom w:val="nil"/>
              <w:right w:val="nil"/>
            </w:tcBorders>
          </w:tcPr>
          <w:p w:rsidR="001C1241" w:rsidRPr="00F5316B" w:rsidRDefault="001C1241" w:rsidP="001C1241">
            <w:pPr>
              <w:pStyle w:val="ListParagraph"/>
              <w:numPr>
                <w:ilvl w:val="0"/>
                <w:numId w:val="7"/>
              </w:numPr>
              <w:spacing w:line="240" w:lineRule="auto"/>
              <w:ind w:left="357" w:hanging="357"/>
              <w:contextualSpacing w:val="0"/>
              <w:rPr>
                <w:rFonts w:cs="Arial"/>
                <w:szCs w:val="24"/>
              </w:rPr>
            </w:pPr>
            <w:r w:rsidRPr="00F5316B">
              <w:rPr>
                <w:rFonts w:cs="Arial"/>
                <w:szCs w:val="24"/>
              </w:rPr>
              <w:t>Parents and whānau are the prime educators in their child’s learning</w:t>
            </w:r>
          </w:p>
          <w:p w:rsidR="001C1241" w:rsidRPr="00F5316B" w:rsidRDefault="001C1241" w:rsidP="001C1241">
            <w:pPr>
              <w:pStyle w:val="ListParagraph"/>
              <w:numPr>
                <w:ilvl w:val="0"/>
                <w:numId w:val="7"/>
              </w:numPr>
              <w:spacing w:line="240" w:lineRule="auto"/>
              <w:ind w:left="357" w:hanging="357"/>
              <w:contextualSpacing w:val="0"/>
              <w:rPr>
                <w:rFonts w:cs="Arial"/>
                <w:szCs w:val="24"/>
              </w:rPr>
            </w:pPr>
            <w:r w:rsidRPr="00F5316B">
              <w:rPr>
                <w:rFonts w:cs="Arial"/>
                <w:szCs w:val="24"/>
              </w:rPr>
              <w:t xml:space="preserve">Education is focused on the </w:t>
            </w:r>
            <w:r>
              <w:rPr>
                <w:rFonts w:cs="Arial"/>
                <w:szCs w:val="24"/>
              </w:rPr>
              <w:t>ākonga</w:t>
            </w:r>
            <w:r w:rsidRPr="00F5316B">
              <w:rPr>
                <w:rFonts w:cs="Arial"/>
                <w:szCs w:val="24"/>
              </w:rPr>
              <w:t xml:space="preserve"> within the context of whānau, community and culture</w:t>
            </w:r>
          </w:p>
          <w:p w:rsidR="001C1241" w:rsidRPr="00F5316B" w:rsidRDefault="001C1241" w:rsidP="001C1241">
            <w:pPr>
              <w:pStyle w:val="ListParagraph"/>
              <w:numPr>
                <w:ilvl w:val="0"/>
                <w:numId w:val="7"/>
              </w:numPr>
              <w:spacing w:line="240" w:lineRule="auto"/>
              <w:ind w:left="357" w:hanging="357"/>
              <w:contextualSpacing w:val="0"/>
              <w:rPr>
                <w:rFonts w:cs="Arial"/>
                <w:szCs w:val="24"/>
              </w:rPr>
            </w:pPr>
            <w:r w:rsidRPr="00F5316B">
              <w:rPr>
                <w:rFonts w:cs="Arial"/>
                <w:szCs w:val="24"/>
              </w:rPr>
              <w:t>Learning occurs through active engagement in meaningful environments</w:t>
            </w:r>
          </w:p>
          <w:p w:rsidR="001C1241" w:rsidRPr="00F5316B" w:rsidRDefault="001C1241" w:rsidP="001C1241">
            <w:pPr>
              <w:pStyle w:val="ListParagraph"/>
              <w:numPr>
                <w:ilvl w:val="0"/>
                <w:numId w:val="7"/>
              </w:numPr>
              <w:spacing w:line="240" w:lineRule="auto"/>
              <w:ind w:left="357" w:hanging="357"/>
              <w:contextualSpacing w:val="0"/>
              <w:rPr>
                <w:rFonts w:cs="Arial"/>
                <w:szCs w:val="24"/>
              </w:rPr>
            </w:pPr>
            <w:r w:rsidRPr="00F5316B">
              <w:rPr>
                <w:rFonts w:cs="Arial"/>
                <w:szCs w:val="24"/>
              </w:rPr>
              <w:t>Ākonga have unique needs requiring specialist learning and teaching approaches</w:t>
            </w:r>
          </w:p>
          <w:p w:rsidR="001C1241" w:rsidRPr="00F5316B" w:rsidRDefault="001C1241" w:rsidP="001C1241">
            <w:pPr>
              <w:pStyle w:val="ListParagraph"/>
              <w:numPr>
                <w:ilvl w:val="0"/>
                <w:numId w:val="7"/>
              </w:numPr>
              <w:spacing w:line="240" w:lineRule="auto"/>
              <w:ind w:left="357" w:hanging="357"/>
              <w:contextualSpacing w:val="0"/>
              <w:rPr>
                <w:rFonts w:cs="Arial"/>
                <w:szCs w:val="24"/>
              </w:rPr>
            </w:pPr>
            <w:r w:rsidRPr="00F5316B">
              <w:rPr>
                <w:rFonts w:cs="Arial"/>
                <w:szCs w:val="24"/>
              </w:rPr>
              <w:t>Ākonga have the right to equitable access to education</w:t>
            </w:r>
          </w:p>
          <w:p w:rsidR="001C1241" w:rsidRPr="00F5316B" w:rsidRDefault="001C1241" w:rsidP="001C1241">
            <w:pPr>
              <w:pStyle w:val="ListParagraph"/>
              <w:numPr>
                <w:ilvl w:val="0"/>
                <w:numId w:val="7"/>
              </w:numPr>
              <w:spacing w:line="240" w:lineRule="auto"/>
              <w:ind w:left="357" w:hanging="357"/>
              <w:contextualSpacing w:val="0"/>
              <w:rPr>
                <w:rFonts w:cs="Arial"/>
                <w:szCs w:val="24"/>
              </w:rPr>
            </w:pPr>
            <w:r w:rsidRPr="00F5316B">
              <w:rPr>
                <w:rFonts w:cs="Arial"/>
                <w:szCs w:val="24"/>
              </w:rPr>
              <w:t>Ākonga have a right to belong and to realise their potential as participating and contributing members of society</w:t>
            </w:r>
          </w:p>
          <w:p w:rsidR="001C1241" w:rsidRPr="00F5316B" w:rsidRDefault="001C1241" w:rsidP="001C1241">
            <w:pPr>
              <w:pStyle w:val="ListParagraph"/>
              <w:numPr>
                <w:ilvl w:val="0"/>
                <w:numId w:val="7"/>
              </w:numPr>
              <w:spacing w:line="240" w:lineRule="auto"/>
              <w:ind w:left="357" w:hanging="357"/>
              <w:contextualSpacing w:val="0"/>
              <w:rPr>
                <w:rFonts w:cs="Arial"/>
                <w:szCs w:val="24"/>
              </w:rPr>
            </w:pPr>
            <w:r w:rsidRPr="00F5316B">
              <w:rPr>
                <w:rFonts w:cs="Arial"/>
                <w:szCs w:val="24"/>
              </w:rPr>
              <w:t>Team collaboration promotes positive outcomes for ākonga</w:t>
            </w:r>
          </w:p>
        </w:tc>
        <w:tc>
          <w:tcPr>
            <w:tcW w:w="11430" w:type="dxa"/>
            <w:tcBorders>
              <w:top w:val="single" w:sz="4" w:space="0" w:color="B4C6E7" w:themeColor="accent5" w:themeTint="66"/>
              <w:left w:val="nil"/>
              <w:bottom w:val="nil"/>
              <w:right w:val="nil"/>
            </w:tcBorders>
          </w:tcPr>
          <w:p w:rsidR="001C1241" w:rsidRPr="005F2DC4" w:rsidRDefault="001C1241" w:rsidP="00BE4143">
            <w:pPr>
              <w:pStyle w:val="ListParagraph"/>
              <w:spacing w:line="240" w:lineRule="auto"/>
              <w:ind w:left="56"/>
              <w:rPr>
                <w:rFonts w:cs="Arial"/>
                <w:szCs w:val="24"/>
              </w:rPr>
            </w:pPr>
            <w:r w:rsidRPr="005F2DC4">
              <w:rPr>
                <w:rFonts w:cs="Arial"/>
                <w:szCs w:val="24"/>
              </w:rPr>
              <w:t xml:space="preserve">BLENNZ whānau includes ākonga, their whānau, educators and the wider community. </w:t>
            </w:r>
          </w:p>
          <w:p w:rsidR="001C1241" w:rsidRPr="005F2DC4" w:rsidRDefault="001C1241" w:rsidP="00BE4143">
            <w:pPr>
              <w:pStyle w:val="ListParagraph"/>
              <w:spacing w:line="240" w:lineRule="auto"/>
              <w:ind w:left="56"/>
              <w:rPr>
                <w:rFonts w:cs="Arial"/>
                <w:szCs w:val="24"/>
              </w:rPr>
            </w:pPr>
          </w:p>
          <w:p w:rsidR="001C1241" w:rsidRPr="005F2DC4" w:rsidRDefault="001C1241" w:rsidP="00BE4143">
            <w:pPr>
              <w:pStyle w:val="ListParagraph"/>
              <w:spacing w:line="240" w:lineRule="auto"/>
              <w:ind w:left="56"/>
              <w:rPr>
                <w:rFonts w:cs="Arial"/>
                <w:szCs w:val="24"/>
              </w:rPr>
            </w:pPr>
            <w:r w:rsidRPr="005F2DC4">
              <w:rPr>
                <w:rFonts w:cs="Arial"/>
                <w:b/>
                <w:szCs w:val="24"/>
              </w:rPr>
              <w:t>Whanaungatanga</w:t>
            </w:r>
          </w:p>
          <w:p w:rsidR="001C1241" w:rsidRDefault="001C1241" w:rsidP="00BE4143">
            <w:pPr>
              <w:pStyle w:val="ListParagraph"/>
              <w:spacing w:after="120" w:line="240" w:lineRule="auto"/>
              <w:ind w:left="58"/>
              <w:rPr>
                <w:rFonts w:cs="Arial"/>
                <w:szCs w:val="24"/>
              </w:rPr>
            </w:pPr>
            <w:r w:rsidRPr="005F2DC4">
              <w:rPr>
                <w:rFonts w:cs="Arial"/>
                <w:szCs w:val="24"/>
              </w:rPr>
              <w:t>At BLENNZ we demonstrate whanaungatanga through valuing people by building relationships with whānau, prioritising time to get to know them and establish connections.</w:t>
            </w:r>
          </w:p>
          <w:p w:rsidR="00D20A1E" w:rsidRPr="005F2DC4" w:rsidRDefault="00D20A1E" w:rsidP="00BE4143">
            <w:pPr>
              <w:pStyle w:val="ListParagraph"/>
              <w:spacing w:after="120" w:line="240" w:lineRule="auto"/>
              <w:ind w:left="58"/>
              <w:rPr>
                <w:rFonts w:cs="Arial"/>
                <w:szCs w:val="24"/>
              </w:rPr>
            </w:pPr>
          </w:p>
          <w:p w:rsidR="001C1241" w:rsidRPr="005F2DC4" w:rsidRDefault="001C1241" w:rsidP="00BE4143">
            <w:pPr>
              <w:pStyle w:val="ListParagraph"/>
              <w:spacing w:line="240" w:lineRule="auto"/>
              <w:ind w:left="56"/>
              <w:rPr>
                <w:rFonts w:cs="Arial"/>
                <w:szCs w:val="24"/>
              </w:rPr>
            </w:pPr>
            <w:r w:rsidRPr="005F2DC4">
              <w:rPr>
                <w:rFonts w:cs="Arial"/>
                <w:b/>
                <w:szCs w:val="24"/>
              </w:rPr>
              <w:t>Manaakitanga</w:t>
            </w:r>
          </w:p>
          <w:p w:rsidR="001C1241" w:rsidRDefault="001C1241" w:rsidP="00BE4143">
            <w:pPr>
              <w:pStyle w:val="ListParagraph"/>
              <w:spacing w:line="240" w:lineRule="auto"/>
              <w:ind w:left="56"/>
              <w:rPr>
                <w:rFonts w:cs="Arial"/>
                <w:szCs w:val="24"/>
              </w:rPr>
            </w:pPr>
            <w:r w:rsidRPr="005F2DC4">
              <w:rPr>
                <w:rFonts w:cs="Arial"/>
                <w:szCs w:val="24"/>
              </w:rPr>
              <w:t xml:space="preserve">At BLENNZ we elevate the </w:t>
            </w:r>
            <w:r>
              <w:rPr>
                <w:rFonts w:cs="Arial"/>
                <w:szCs w:val="24"/>
              </w:rPr>
              <w:t>mana</w:t>
            </w:r>
            <w:r w:rsidRPr="005F2DC4">
              <w:rPr>
                <w:rFonts w:cs="Arial"/>
                <w:szCs w:val="24"/>
              </w:rPr>
              <w:t xml:space="preserve"> by showing respect for their emotional, spiritual, cultural, physical and mental wellbeing in the way we welcome, nurture and nourish them.</w:t>
            </w:r>
          </w:p>
          <w:p w:rsidR="00D20A1E" w:rsidRPr="005F2DC4" w:rsidRDefault="00D20A1E" w:rsidP="00BE4143">
            <w:pPr>
              <w:pStyle w:val="ListParagraph"/>
              <w:spacing w:line="240" w:lineRule="auto"/>
              <w:ind w:left="56"/>
              <w:rPr>
                <w:rFonts w:cs="Arial"/>
                <w:szCs w:val="24"/>
              </w:rPr>
            </w:pPr>
          </w:p>
          <w:p w:rsidR="001C1241" w:rsidRPr="005F2DC4" w:rsidRDefault="001C1241" w:rsidP="00BE4143">
            <w:pPr>
              <w:pStyle w:val="ListParagraph"/>
              <w:spacing w:before="120" w:line="240" w:lineRule="auto"/>
              <w:ind w:left="58"/>
              <w:rPr>
                <w:rFonts w:cs="Arial"/>
                <w:szCs w:val="24"/>
              </w:rPr>
            </w:pPr>
            <w:r w:rsidRPr="005F2DC4">
              <w:rPr>
                <w:rFonts w:cs="Arial"/>
                <w:b/>
                <w:szCs w:val="24"/>
              </w:rPr>
              <w:t>Awhinatanga</w:t>
            </w:r>
          </w:p>
          <w:p w:rsidR="001C1241" w:rsidRDefault="001C1241" w:rsidP="00BE4143">
            <w:pPr>
              <w:pStyle w:val="ListParagraph"/>
              <w:spacing w:line="240" w:lineRule="auto"/>
              <w:ind w:left="56"/>
              <w:rPr>
                <w:rFonts w:cs="Arial"/>
                <w:szCs w:val="24"/>
              </w:rPr>
            </w:pPr>
            <w:r w:rsidRPr="005F2DC4">
              <w:rPr>
                <w:rFonts w:cs="Arial"/>
                <w:szCs w:val="24"/>
              </w:rPr>
              <w:t xml:space="preserve">At BLENNZ we demonstrate awhinatanga through the spirit in which we engage and </w:t>
            </w:r>
            <w:r>
              <w:rPr>
                <w:rFonts w:cs="Arial"/>
                <w:szCs w:val="24"/>
              </w:rPr>
              <w:t>empathise</w:t>
            </w:r>
            <w:r w:rsidRPr="005F2DC4">
              <w:rPr>
                <w:rFonts w:cs="Arial"/>
                <w:szCs w:val="24"/>
              </w:rPr>
              <w:t xml:space="preserve"> with each other by assisting the learning of ākonga and whānau.</w:t>
            </w:r>
          </w:p>
          <w:p w:rsidR="00D20A1E" w:rsidRPr="005F2DC4" w:rsidRDefault="00D20A1E" w:rsidP="00BE4143">
            <w:pPr>
              <w:pStyle w:val="ListParagraph"/>
              <w:spacing w:line="240" w:lineRule="auto"/>
              <w:ind w:left="56"/>
              <w:rPr>
                <w:rFonts w:cs="Arial"/>
                <w:szCs w:val="24"/>
              </w:rPr>
            </w:pPr>
          </w:p>
          <w:p w:rsidR="001C1241" w:rsidRPr="005F2DC4" w:rsidRDefault="001C1241" w:rsidP="00BE4143">
            <w:pPr>
              <w:pStyle w:val="ListParagraph"/>
              <w:spacing w:before="120" w:line="240" w:lineRule="auto"/>
              <w:ind w:left="58"/>
              <w:rPr>
                <w:rFonts w:cs="Arial"/>
                <w:szCs w:val="24"/>
              </w:rPr>
            </w:pPr>
            <w:r w:rsidRPr="005F2DC4">
              <w:rPr>
                <w:rFonts w:cs="Arial"/>
                <w:b/>
                <w:szCs w:val="24"/>
              </w:rPr>
              <w:t>Kotahitanga</w:t>
            </w:r>
          </w:p>
          <w:p w:rsidR="001C1241" w:rsidRDefault="001C1241" w:rsidP="00BE4143">
            <w:pPr>
              <w:pStyle w:val="ListParagraph"/>
              <w:spacing w:line="240" w:lineRule="auto"/>
              <w:ind w:left="56"/>
              <w:rPr>
                <w:rFonts w:cs="Arial"/>
                <w:szCs w:val="24"/>
              </w:rPr>
            </w:pPr>
            <w:r w:rsidRPr="005F2DC4">
              <w:rPr>
                <w:rFonts w:cs="Arial"/>
                <w:szCs w:val="24"/>
              </w:rPr>
              <w:t>At BLENNZ we demonstrate kotahitanga through striving to reach consensus and unity of purpose, while acknowledging and respecting individual differences and perspectives.</w:t>
            </w:r>
          </w:p>
          <w:p w:rsidR="00D20A1E" w:rsidRPr="005F2DC4" w:rsidRDefault="00D20A1E" w:rsidP="00BE4143">
            <w:pPr>
              <w:pStyle w:val="ListParagraph"/>
              <w:spacing w:line="240" w:lineRule="auto"/>
              <w:ind w:left="56"/>
              <w:rPr>
                <w:rFonts w:cs="Arial"/>
                <w:szCs w:val="24"/>
              </w:rPr>
            </w:pPr>
          </w:p>
          <w:p w:rsidR="001C1241" w:rsidRDefault="001C1241" w:rsidP="00BE4143">
            <w:pPr>
              <w:pStyle w:val="ListParagraph"/>
              <w:spacing w:before="120" w:line="240" w:lineRule="auto"/>
              <w:ind w:left="58"/>
              <w:rPr>
                <w:rFonts w:cs="Arial"/>
                <w:b/>
                <w:szCs w:val="24"/>
              </w:rPr>
            </w:pPr>
            <w:r w:rsidRPr="005F2DC4">
              <w:rPr>
                <w:rFonts w:cs="Arial"/>
                <w:b/>
                <w:szCs w:val="24"/>
              </w:rPr>
              <w:t>Ako</w:t>
            </w:r>
          </w:p>
          <w:p w:rsidR="001C1241" w:rsidRPr="00E959A9" w:rsidRDefault="001C1241" w:rsidP="00BE4143">
            <w:pPr>
              <w:pStyle w:val="ListParagraph"/>
              <w:spacing w:before="120" w:line="240" w:lineRule="auto"/>
              <w:ind w:left="58"/>
              <w:rPr>
                <w:rFonts w:cs="Arial"/>
                <w:b/>
                <w:szCs w:val="24"/>
              </w:rPr>
            </w:pPr>
            <w:r w:rsidRPr="005F2DC4">
              <w:rPr>
                <w:rFonts w:cs="Arial"/>
                <w:szCs w:val="24"/>
              </w:rPr>
              <w:t>At BLENNZ we demonstrate ako through creating opportunities where we can learn from each other, recognising that everybody brings knowledge and that ākonga and whānau are intertwined.</w:t>
            </w:r>
          </w:p>
          <w:p w:rsidR="001C1241" w:rsidRPr="00E959A9" w:rsidRDefault="001C1241" w:rsidP="00BE4143">
            <w:pPr>
              <w:pStyle w:val="ListParagraph"/>
              <w:spacing w:line="240" w:lineRule="auto"/>
              <w:ind w:left="56"/>
              <w:rPr>
                <w:rFonts w:cs="Arial"/>
                <w:b/>
                <w:szCs w:val="24"/>
              </w:rPr>
            </w:pPr>
            <w:r w:rsidRPr="00E959A9">
              <w:rPr>
                <w:rFonts w:cs="Arial"/>
                <w:b/>
                <w:szCs w:val="24"/>
              </w:rPr>
              <w:t xml:space="preserve"> </w:t>
            </w:r>
          </w:p>
        </w:tc>
      </w:tr>
    </w:tbl>
    <w:p w:rsidR="00A42A44" w:rsidRDefault="00A42A44" w:rsidP="00AC32D9">
      <w:pPr>
        <w:pStyle w:val="Heading1"/>
        <w:sectPr w:rsidR="00A42A44" w:rsidSect="009A1265">
          <w:pgSz w:w="16838" w:h="11906" w:orient="landscape"/>
          <w:pgMar w:top="288" w:right="1138" w:bottom="720" w:left="1138" w:header="706" w:footer="706" w:gutter="0"/>
          <w:cols w:space="708"/>
          <w:docGrid w:linePitch="360"/>
        </w:sectPr>
      </w:pPr>
      <w:bookmarkStart w:id="3" w:name="_Toc506273922"/>
      <w:bookmarkStart w:id="4" w:name="_Toc506295586"/>
    </w:p>
    <w:p w:rsidR="009A1265" w:rsidRDefault="0055034D" w:rsidP="00AC32D9">
      <w:pPr>
        <w:pStyle w:val="Heading1"/>
        <w:ind w:left="720"/>
      </w:pPr>
      <w:r>
        <w:lastRenderedPageBreak/>
        <w:t xml:space="preserve">2016 – 2019 </w:t>
      </w:r>
      <w:r w:rsidRPr="008E08B7">
        <w:t>Strategic Goals</w:t>
      </w:r>
      <w:r>
        <w:t xml:space="preserve"> and 2018 Annual Plan Objectives</w:t>
      </w:r>
    </w:p>
    <w:tbl>
      <w:tblPr>
        <w:tblStyle w:val="TableGrid"/>
        <w:tblW w:w="15549" w:type="dxa"/>
        <w:tblInd w:w="556" w:type="dxa"/>
        <w:tblLook w:val="04A0" w:firstRow="1" w:lastRow="0" w:firstColumn="1" w:lastColumn="0" w:noHBand="0" w:noVBand="1"/>
        <w:tblDescription w:val="2016-2018 Strategic Goals"/>
      </w:tblPr>
      <w:tblGrid>
        <w:gridCol w:w="5109"/>
        <w:gridCol w:w="4590"/>
        <w:gridCol w:w="5850"/>
      </w:tblGrid>
      <w:tr w:rsidR="009A1265" w:rsidRPr="0046082E" w:rsidTr="008C6817">
        <w:trPr>
          <w:tblHeader/>
        </w:trPr>
        <w:tc>
          <w:tcPr>
            <w:tcW w:w="5109" w:type="dxa"/>
            <w:shd w:val="clear" w:color="auto" w:fill="B4C6E7" w:themeFill="accent5" w:themeFillTint="66"/>
          </w:tcPr>
          <w:p w:rsidR="009A1265" w:rsidRPr="009A1265" w:rsidRDefault="009A1265" w:rsidP="00D77B34">
            <w:pPr>
              <w:rPr>
                <w:rFonts w:cs="Arial"/>
                <w:b/>
                <w:bCs/>
                <w:szCs w:val="24"/>
              </w:rPr>
            </w:pPr>
            <w:r w:rsidRPr="009A1265">
              <w:rPr>
                <w:rFonts w:cs="Arial"/>
                <w:b/>
                <w:bCs/>
                <w:szCs w:val="24"/>
              </w:rPr>
              <w:t>Goal 1: All learners are supported by BLENNZ to achieve their full potential through the use of evidence-based practice.</w:t>
            </w:r>
          </w:p>
        </w:tc>
        <w:tc>
          <w:tcPr>
            <w:tcW w:w="4590" w:type="dxa"/>
            <w:shd w:val="clear" w:color="auto" w:fill="B4C6E7" w:themeFill="accent5" w:themeFillTint="66"/>
          </w:tcPr>
          <w:p w:rsidR="009A1265" w:rsidRPr="009A1265" w:rsidRDefault="009A1265" w:rsidP="00D77B34">
            <w:pPr>
              <w:rPr>
                <w:rFonts w:cs="Arial"/>
                <w:b/>
                <w:bCs/>
                <w:szCs w:val="24"/>
              </w:rPr>
            </w:pPr>
            <w:r w:rsidRPr="009A1265">
              <w:rPr>
                <w:rFonts w:cs="Arial"/>
                <w:b/>
                <w:bCs/>
                <w:szCs w:val="24"/>
              </w:rPr>
              <w:t>Goal 2: Ākonga progress and achievement is enriched through the building and strengthening of effective learning-centred relationships with each ākonga’s whānau.</w:t>
            </w:r>
          </w:p>
        </w:tc>
        <w:tc>
          <w:tcPr>
            <w:tcW w:w="5850" w:type="dxa"/>
            <w:shd w:val="clear" w:color="auto" w:fill="B4C6E7" w:themeFill="accent5" w:themeFillTint="66"/>
          </w:tcPr>
          <w:p w:rsidR="009A1265" w:rsidRPr="009A1265" w:rsidRDefault="009A1265" w:rsidP="00D77B34">
            <w:pPr>
              <w:rPr>
                <w:rFonts w:cs="Arial"/>
                <w:b/>
                <w:bCs/>
                <w:szCs w:val="24"/>
              </w:rPr>
            </w:pPr>
            <w:r w:rsidRPr="009A1265">
              <w:rPr>
                <w:rFonts w:cs="Arial"/>
                <w:b/>
                <w:bCs/>
                <w:szCs w:val="24"/>
              </w:rPr>
              <w:t>Goal 3: Learning is enhanced through the appropriate use of BLENNZ resources, systems and organisational relationships.</w:t>
            </w:r>
          </w:p>
        </w:tc>
      </w:tr>
      <w:tr w:rsidR="009A1265" w:rsidRPr="00D20A1E" w:rsidTr="008C6817">
        <w:trPr>
          <w:tblHeader/>
        </w:trPr>
        <w:tc>
          <w:tcPr>
            <w:tcW w:w="5109" w:type="dxa"/>
          </w:tcPr>
          <w:p w:rsidR="009A1265" w:rsidRPr="00D20A1E" w:rsidRDefault="009A1265" w:rsidP="00D77B34">
            <w:pPr>
              <w:pStyle w:val="ListParagraph"/>
              <w:numPr>
                <w:ilvl w:val="0"/>
                <w:numId w:val="8"/>
              </w:numPr>
              <w:spacing w:line="240" w:lineRule="auto"/>
              <w:contextualSpacing w:val="0"/>
              <w:rPr>
                <w:rFonts w:cs="Arial"/>
                <w:bCs/>
                <w:szCs w:val="24"/>
              </w:rPr>
            </w:pPr>
            <w:r w:rsidRPr="00D20A1E">
              <w:rPr>
                <w:rFonts w:cs="Arial"/>
                <w:bCs/>
                <w:szCs w:val="24"/>
              </w:rPr>
              <w:t>Undertake professional learning to strengthen the skills of curricula leaders in the inquiry process:</w:t>
            </w:r>
          </w:p>
          <w:p w:rsidR="009A1265" w:rsidRPr="00D20A1E" w:rsidRDefault="009A1265" w:rsidP="00D77B34">
            <w:pPr>
              <w:pStyle w:val="ListParagraph"/>
              <w:numPr>
                <w:ilvl w:val="1"/>
                <w:numId w:val="10"/>
              </w:numPr>
              <w:spacing w:line="240" w:lineRule="auto"/>
              <w:contextualSpacing w:val="0"/>
              <w:rPr>
                <w:rFonts w:cs="Arial"/>
                <w:bCs/>
                <w:szCs w:val="24"/>
              </w:rPr>
            </w:pPr>
            <w:r w:rsidRPr="00D20A1E">
              <w:rPr>
                <w:rFonts w:cs="Arial"/>
                <w:bCs/>
                <w:szCs w:val="24"/>
              </w:rPr>
              <w:t>lead and mentor others in inquiry</w:t>
            </w:r>
          </w:p>
          <w:p w:rsidR="009A1265" w:rsidRPr="00D20A1E" w:rsidRDefault="009A1265" w:rsidP="00D77B34">
            <w:pPr>
              <w:pStyle w:val="ListParagraph"/>
              <w:numPr>
                <w:ilvl w:val="1"/>
                <w:numId w:val="10"/>
              </w:numPr>
              <w:spacing w:line="240" w:lineRule="auto"/>
              <w:contextualSpacing w:val="0"/>
              <w:rPr>
                <w:rFonts w:cs="Arial"/>
                <w:bCs/>
                <w:szCs w:val="24"/>
              </w:rPr>
            </w:pPr>
            <w:r w:rsidRPr="00D20A1E">
              <w:rPr>
                <w:rFonts w:cs="Arial"/>
                <w:bCs/>
                <w:szCs w:val="24"/>
              </w:rPr>
              <w:t xml:space="preserve">complete the development of a guideline to support inquiry within BLENNZ </w:t>
            </w:r>
          </w:p>
          <w:p w:rsidR="009A1265" w:rsidRPr="00D20A1E" w:rsidRDefault="009A1265" w:rsidP="00D77B34">
            <w:pPr>
              <w:ind w:left="330"/>
              <w:rPr>
                <w:rFonts w:cs="Arial"/>
                <w:bCs/>
                <w:szCs w:val="24"/>
              </w:rPr>
            </w:pPr>
            <w:r w:rsidRPr="00D20A1E">
              <w:rPr>
                <w:rFonts w:cs="Arial"/>
                <w:bCs/>
                <w:szCs w:val="24"/>
              </w:rPr>
              <w:t>to enable improved teaching and learning outcomes.</w:t>
            </w:r>
          </w:p>
          <w:p w:rsidR="009A1265" w:rsidRPr="00D20A1E" w:rsidRDefault="009A1265" w:rsidP="00D77B34">
            <w:pPr>
              <w:pStyle w:val="ListParagraph"/>
              <w:numPr>
                <w:ilvl w:val="1"/>
                <w:numId w:val="8"/>
              </w:numPr>
              <w:spacing w:line="240" w:lineRule="auto"/>
              <w:ind w:left="330"/>
              <w:contextualSpacing w:val="0"/>
              <w:rPr>
                <w:rFonts w:cs="Arial"/>
                <w:bCs/>
                <w:szCs w:val="24"/>
              </w:rPr>
            </w:pPr>
            <w:r w:rsidRPr="00D20A1E">
              <w:rPr>
                <w:rFonts w:cs="Arial"/>
                <w:bCs/>
                <w:szCs w:val="24"/>
              </w:rPr>
              <w:t>Focus on numeracy achievement of ākonga by:</w:t>
            </w:r>
          </w:p>
          <w:p w:rsidR="009A1265" w:rsidRPr="00D20A1E" w:rsidRDefault="009A1265" w:rsidP="00D77B34">
            <w:pPr>
              <w:pStyle w:val="ListParagraph"/>
              <w:numPr>
                <w:ilvl w:val="1"/>
                <w:numId w:val="9"/>
              </w:numPr>
              <w:spacing w:line="240" w:lineRule="auto"/>
              <w:contextualSpacing w:val="0"/>
              <w:rPr>
                <w:rFonts w:cs="Arial"/>
                <w:bCs/>
                <w:szCs w:val="24"/>
              </w:rPr>
            </w:pPr>
            <w:r w:rsidRPr="00D20A1E">
              <w:rPr>
                <w:rFonts w:cs="Arial"/>
                <w:bCs/>
                <w:szCs w:val="24"/>
              </w:rPr>
              <w:t xml:space="preserve">Identifying the achievement outcomes in numeracy for a </w:t>
            </w:r>
            <w:r w:rsidRPr="00D20A1E">
              <w:rPr>
                <w:rFonts w:cs="Arial"/>
                <w:bCs/>
                <w:color w:val="000000" w:themeColor="text1"/>
                <w:szCs w:val="24"/>
              </w:rPr>
              <w:t xml:space="preserve">cohort </w:t>
            </w:r>
            <w:r w:rsidRPr="00D20A1E">
              <w:rPr>
                <w:rFonts w:cs="Arial"/>
                <w:bCs/>
                <w:szCs w:val="24"/>
              </w:rPr>
              <w:t>of ākonga</w:t>
            </w:r>
          </w:p>
          <w:p w:rsidR="009A1265" w:rsidRPr="00D20A1E" w:rsidRDefault="009A1265" w:rsidP="00D77B34">
            <w:pPr>
              <w:pStyle w:val="ListParagraph"/>
              <w:numPr>
                <w:ilvl w:val="1"/>
                <w:numId w:val="9"/>
              </w:numPr>
              <w:spacing w:line="240" w:lineRule="auto"/>
              <w:contextualSpacing w:val="0"/>
              <w:rPr>
                <w:rFonts w:cs="Arial"/>
                <w:bCs/>
                <w:szCs w:val="24"/>
              </w:rPr>
            </w:pPr>
            <w:r w:rsidRPr="00D20A1E">
              <w:rPr>
                <w:rFonts w:cs="Arial"/>
                <w:bCs/>
                <w:szCs w:val="24"/>
              </w:rPr>
              <w:t>Collating resources and</w:t>
            </w:r>
          </w:p>
          <w:p w:rsidR="009A1265" w:rsidRPr="00D20A1E" w:rsidRDefault="009A1265" w:rsidP="00D77B34">
            <w:pPr>
              <w:pStyle w:val="ListParagraph"/>
              <w:numPr>
                <w:ilvl w:val="1"/>
                <w:numId w:val="9"/>
              </w:numPr>
              <w:spacing w:line="240" w:lineRule="auto"/>
              <w:contextualSpacing w:val="0"/>
              <w:rPr>
                <w:rFonts w:cs="Arial"/>
                <w:bCs/>
                <w:szCs w:val="24"/>
              </w:rPr>
            </w:pPr>
            <w:r w:rsidRPr="00D20A1E">
              <w:rPr>
                <w:rFonts w:cs="Arial"/>
                <w:bCs/>
                <w:szCs w:val="24"/>
              </w:rPr>
              <w:t>Providing professional development.</w:t>
            </w:r>
          </w:p>
          <w:p w:rsidR="009A1265" w:rsidRPr="00D20A1E" w:rsidRDefault="009A1265" w:rsidP="00D77B34">
            <w:pPr>
              <w:rPr>
                <w:rFonts w:cs="Arial"/>
                <w:b/>
                <w:bCs/>
                <w:szCs w:val="24"/>
              </w:rPr>
            </w:pPr>
            <w:r w:rsidRPr="00D20A1E">
              <w:rPr>
                <w:rFonts w:cs="Arial"/>
                <w:b/>
                <w:bCs/>
                <w:szCs w:val="24"/>
              </w:rPr>
              <w:t>Implement the:</w:t>
            </w:r>
          </w:p>
          <w:p w:rsidR="008C6817" w:rsidRDefault="009A1265" w:rsidP="008C6817">
            <w:pPr>
              <w:pStyle w:val="ListParagraph"/>
              <w:numPr>
                <w:ilvl w:val="0"/>
                <w:numId w:val="11"/>
              </w:numPr>
              <w:spacing w:line="240" w:lineRule="auto"/>
              <w:contextualSpacing w:val="0"/>
              <w:rPr>
                <w:rFonts w:cs="Arial"/>
                <w:bCs/>
                <w:szCs w:val="24"/>
              </w:rPr>
            </w:pPr>
            <w:r w:rsidRPr="00D20A1E">
              <w:rPr>
                <w:rFonts w:cs="Arial"/>
                <w:bCs/>
                <w:szCs w:val="24"/>
              </w:rPr>
              <w:t>Online curricula hubs to become the repository of BLENNZ resources and evidence base.</w:t>
            </w:r>
          </w:p>
          <w:p w:rsidR="009A1265" w:rsidRDefault="009A1265" w:rsidP="008C6817">
            <w:pPr>
              <w:pStyle w:val="ListParagraph"/>
              <w:numPr>
                <w:ilvl w:val="0"/>
                <w:numId w:val="11"/>
              </w:numPr>
              <w:spacing w:after="200" w:line="240" w:lineRule="auto"/>
              <w:contextualSpacing w:val="0"/>
              <w:rPr>
                <w:rFonts w:cs="Arial"/>
                <w:bCs/>
                <w:szCs w:val="24"/>
              </w:rPr>
            </w:pPr>
            <w:r w:rsidRPr="00D20A1E">
              <w:rPr>
                <w:rFonts w:cs="Arial"/>
                <w:bCs/>
                <w:szCs w:val="24"/>
              </w:rPr>
              <w:t>Homai Early Childhood Centre strategic path through a teacher led inquiry model.</w:t>
            </w:r>
          </w:p>
          <w:p w:rsidR="008C6817" w:rsidRPr="00F35700" w:rsidRDefault="008C6817" w:rsidP="008C6817">
            <w:pPr>
              <w:pStyle w:val="ListParagraph"/>
              <w:numPr>
                <w:ilvl w:val="0"/>
                <w:numId w:val="11"/>
              </w:numPr>
              <w:spacing w:after="200" w:line="240" w:lineRule="auto"/>
              <w:contextualSpacing w:val="0"/>
              <w:rPr>
                <w:rFonts w:cs="Arial"/>
                <w:bCs/>
                <w:szCs w:val="24"/>
              </w:rPr>
            </w:pPr>
            <w:r>
              <w:rPr>
                <w:rFonts w:cs="Arial"/>
                <w:bCs/>
                <w:szCs w:val="24"/>
              </w:rPr>
              <w:t xml:space="preserve">Residential programme </w:t>
            </w:r>
            <w:r>
              <w:rPr>
                <w:rFonts w:cs="Arial"/>
                <w:bCs/>
                <w:i/>
                <w:szCs w:val="24"/>
              </w:rPr>
              <w:t xml:space="preserve">pathways for transition </w:t>
            </w:r>
            <w:r>
              <w:rPr>
                <w:rFonts w:cs="Arial"/>
                <w:bCs/>
                <w:szCs w:val="24"/>
              </w:rPr>
              <w:t>using an evidence based approach.</w:t>
            </w:r>
          </w:p>
        </w:tc>
        <w:tc>
          <w:tcPr>
            <w:tcW w:w="4590" w:type="dxa"/>
          </w:tcPr>
          <w:p w:rsidR="009A1265" w:rsidRPr="00D20A1E" w:rsidRDefault="009A1265" w:rsidP="00D77B34">
            <w:pPr>
              <w:rPr>
                <w:rFonts w:cs="Arial"/>
                <w:b/>
                <w:bCs/>
                <w:szCs w:val="24"/>
              </w:rPr>
            </w:pPr>
            <w:r w:rsidRPr="00D20A1E">
              <w:rPr>
                <w:rFonts w:cs="Arial"/>
                <w:b/>
                <w:bCs/>
                <w:szCs w:val="24"/>
              </w:rPr>
              <w:t>Communication:</w:t>
            </w:r>
          </w:p>
          <w:p w:rsidR="009A1265" w:rsidRPr="00D20A1E" w:rsidRDefault="009A1265" w:rsidP="00D77B34">
            <w:pPr>
              <w:pStyle w:val="ListParagraph"/>
              <w:numPr>
                <w:ilvl w:val="0"/>
                <w:numId w:val="12"/>
              </w:numPr>
              <w:spacing w:line="240" w:lineRule="auto"/>
              <w:contextualSpacing w:val="0"/>
              <w:rPr>
                <w:rFonts w:cs="Arial"/>
                <w:bCs/>
                <w:szCs w:val="24"/>
              </w:rPr>
            </w:pPr>
            <w:r w:rsidRPr="00D20A1E">
              <w:rPr>
                <w:rFonts w:cs="Arial"/>
                <w:bCs/>
                <w:szCs w:val="24"/>
              </w:rPr>
              <w:t>The Board will initiate regional consultation with a view of hearing the voice of whānau.</w:t>
            </w:r>
          </w:p>
          <w:p w:rsidR="009A1265" w:rsidRPr="00D20A1E" w:rsidRDefault="009A1265" w:rsidP="00D77B34">
            <w:pPr>
              <w:pStyle w:val="ListParagraph"/>
              <w:numPr>
                <w:ilvl w:val="0"/>
                <w:numId w:val="12"/>
              </w:numPr>
              <w:spacing w:line="240" w:lineRule="auto"/>
              <w:contextualSpacing w:val="0"/>
              <w:rPr>
                <w:rFonts w:cs="Arial"/>
                <w:bCs/>
                <w:szCs w:val="24"/>
              </w:rPr>
            </w:pPr>
            <w:r w:rsidRPr="00D20A1E">
              <w:rPr>
                <w:rFonts w:cs="Arial"/>
                <w:bCs/>
                <w:szCs w:val="24"/>
              </w:rPr>
              <w:t>All team leaders embed the provision of a biannual team newsletter and an annual regional whānau event in practice.</w:t>
            </w:r>
          </w:p>
          <w:p w:rsidR="009A1265" w:rsidRPr="00D20A1E" w:rsidRDefault="009A1265" w:rsidP="00D77B34">
            <w:pPr>
              <w:pStyle w:val="ListParagraph"/>
              <w:numPr>
                <w:ilvl w:val="0"/>
                <w:numId w:val="12"/>
              </w:numPr>
              <w:spacing w:line="240" w:lineRule="auto"/>
              <w:contextualSpacing w:val="0"/>
              <w:rPr>
                <w:rFonts w:cs="Arial"/>
                <w:bCs/>
                <w:szCs w:val="24"/>
              </w:rPr>
            </w:pPr>
            <w:r w:rsidRPr="00D20A1E">
              <w:rPr>
                <w:rFonts w:cs="Arial"/>
                <w:bCs/>
                <w:szCs w:val="24"/>
              </w:rPr>
              <w:t>Establish and initiate an online content development work plan reflecting the needs of whānau.</w:t>
            </w:r>
          </w:p>
          <w:p w:rsidR="009A1265" w:rsidRPr="00D20A1E" w:rsidRDefault="009A1265" w:rsidP="00D77B34">
            <w:pPr>
              <w:rPr>
                <w:rFonts w:cs="Arial"/>
                <w:b/>
                <w:bCs/>
                <w:szCs w:val="24"/>
              </w:rPr>
            </w:pPr>
            <w:r w:rsidRPr="00D20A1E">
              <w:rPr>
                <w:rFonts w:cs="Arial"/>
                <w:b/>
                <w:bCs/>
                <w:szCs w:val="24"/>
              </w:rPr>
              <w:t>Capability Building:</w:t>
            </w:r>
          </w:p>
          <w:p w:rsidR="008C6817" w:rsidRDefault="008C6817" w:rsidP="00D77B34">
            <w:pPr>
              <w:pStyle w:val="ListParagraph"/>
              <w:numPr>
                <w:ilvl w:val="0"/>
                <w:numId w:val="13"/>
              </w:numPr>
              <w:spacing w:line="240" w:lineRule="auto"/>
              <w:contextualSpacing w:val="0"/>
              <w:rPr>
                <w:rFonts w:cs="Arial"/>
                <w:bCs/>
                <w:szCs w:val="24"/>
              </w:rPr>
            </w:pPr>
            <w:r>
              <w:rPr>
                <w:rFonts w:cs="Arial"/>
                <w:bCs/>
                <w:szCs w:val="24"/>
              </w:rPr>
              <w:t>To raise awareness of and increase the cultural competency of the BLENNZ te4aching team.</w:t>
            </w:r>
          </w:p>
          <w:p w:rsidR="009A1265" w:rsidRDefault="009A1265" w:rsidP="00D77B34">
            <w:pPr>
              <w:pStyle w:val="ListParagraph"/>
              <w:numPr>
                <w:ilvl w:val="0"/>
                <w:numId w:val="13"/>
              </w:numPr>
              <w:spacing w:line="240" w:lineRule="auto"/>
              <w:contextualSpacing w:val="0"/>
              <w:rPr>
                <w:rFonts w:cs="Arial"/>
                <w:bCs/>
                <w:szCs w:val="24"/>
              </w:rPr>
            </w:pPr>
            <w:r w:rsidRPr="00D20A1E">
              <w:rPr>
                <w:rFonts w:cs="Arial"/>
                <w:bCs/>
                <w:szCs w:val="24"/>
              </w:rPr>
              <w:t>Collaborate with education and health teams in an initiative to inform the development of parent leadership in visioning and goal setting.</w:t>
            </w:r>
          </w:p>
          <w:p w:rsidR="008C6817" w:rsidRPr="00D20A1E" w:rsidRDefault="008C6817" w:rsidP="00D77B34">
            <w:pPr>
              <w:pStyle w:val="ListParagraph"/>
              <w:numPr>
                <w:ilvl w:val="0"/>
                <w:numId w:val="13"/>
              </w:numPr>
              <w:spacing w:line="240" w:lineRule="auto"/>
              <w:contextualSpacing w:val="0"/>
              <w:rPr>
                <w:rFonts w:cs="Arial"/>
                <w:bCs/>
                <w:szCs w:val="24"/>
              </w:rPr>
            </w:pPr>
            <w:r>
              <w:rPr>
                <w:rFonts w:cs="Arial"/>
                <w:bCs/>
                <w:szCs w:val="24"/>
              </w:rPr>
              <w:t>A teaching team will engage in the ‘my working world’ programme to enhance their reflective practice resulting in stronger professional and parent relationships.</w:t>
            </w:r>
          </w:p>
          <w:p w:rsidR="009A1265" w:rsidRPr="00F35700" w:rsidRDefault="009A1265" w:rsidP="008C6817">
            <w:pPr>
              <w:pStyle w:val="ListParagraph"/>
              <w:spacing w:line="240" w:lineRule="auto"/>
              <w:ind w:left="360"/>
              <w:contextualSpacing w:val="0"/>
              <w:rPr>
                <w:rFonts w:cs="Arial"/>
                <w:bCs/>
                <w:szCs w:val="24"/>
              </w:rPr>
            </w:pPr>
          </w:p>
        </w:tc>
        <w:tc>
          <w:tcPr>
            <w:tcW w:w="5850" w:type="dxa"/>
          </w:tcPr>
          <w:p w:rsidR="009A1265" w:rsidRPr="00D20A1E" w:rsidRDefault="009A1265" w:rsidP="00D77B34">
            <w:pPr>
              <w:rPr>
                <w:rFonts w:cs="Arial"/>
                <w:b/>
                <w:bCs/>
                <w:szCs w:val="24"/>
              </w:rPr>
            </w:pPr>
            <w:r w:rsidRPr="00D20A1E">
              <w:rPr>
                <w:rFonts w:cs="Arial"/>
                <w:b/>
                <w:bCs/>
                <w:szCs w:val="24"/>
              </w:rPr>
              <w:t>Partnerships:</w:t>
            </w:r>
          </w:p>
          <w:p w:rsidR="009A1265" w:rsidRPr="00D20A1E" w:rsidRDefault="009A1265" w:rsidP="00D77B34">
            <w:pPr>
              <w:pStyle w:val="ListParagraph"/>
              <w:numPr>
                <w:ilvl w:val="0"/>
                <w:numId w:val="14"/>
              </w:numPr>
              <w:spacing w:line="240" w:lineRule="auto"/>
              <w:contextualSpacing w:val="0"/>
              <w:rPr>
                <w:rFonts w:cs="Arial"/>
                <w:bCs/>
                <w:szCs w:val="24"/>
              </w:rPr>
            </w:pPr>
            <w:r w:rsidRPr="00D20A1E">
              <w:rPr>
                <w:rFonts w:cs="Arial"/>
                <w:bCs/>
                <w:szCs w:val="24"/>
              </w:rPr>
              <w:t>Initiate work, with Blind Foundation, to inform a collaborative approach to transition.</w:t>
            </w:r>
          </w:p>
          <w:p w:rsidR="009A1265" w:rsidRPr="00D20A1E" w:rsidRDefault="009A1265" w:rsidP="00D77B34">
            <w:pPr>
              <w:pStyle w:val="ListParagraph"/>
              <w:numPr>
                <w:ilvl w:val="0"/>
                <w:numId w:val="14"/>
              </w:numPr>
              <w:spacing w:line="240" w:lineRule="auto"/>
              <w:contextualSpacing w:val="0"/>
              <w:rPr>
                <w:rFonts w:cs="Arial"/>
                <w:bCs/>
                <w:szCs w:val="24"/>
              </w:rPr>
            </w:pPr>
            <w:r w:rsidRPr="00D20A1E">
              <w:rPr>
                <w:rFonts w:cs="Arial"/>
                <w:bCs/>
                <w:szCs w:val="24"/>
              </w:rPr>
              <w:t>Work with fundholders to develop and trial an approach to enhance outcomes of ākonga who have learning needs which are complex in nature.</w:t>
            </w:r>
          </w:p>
          <w:p w:rsidR="009A1265" w:rsidRPr="00D20A1E" w:rsidRDefault="009A1265" w:rsidP="00D77B34">
            <w:pPr>
              <w:pStyle w:val="ListParagraph"/>
              <w:numPr>
                <w:ilvl w:val="0"/>
                <w:numId w:val="14"/>
              </w:numPr>
              <w:spacing w:line="240" w:lineRule="auto"/>
              <w:contextualSpacing w:val="0"/>
              <w:rPr>
                <w:rFonts w:cs="Arial"/>
                <w:bCs/>
                <w:szCs w:val="24"/>
              </w:rPr>
            </w:pPr>
            <w:r w:rsidRPr="00D20A1E">
              <w:rPr>
                <w:rFonts w:cs="Arial"/>
                <w:bCs/>
                <w:szCs w:val="24"/>
              </w:rPr>
              <w:t>Organise and facilitate a Sector workshop to inform practice in modern learning environments.</w:t>
            </w:r>
          </w:p>
          <w:p w:rsidR="009A1265" w:rsidRPr="00D20A1E" w:rsidRDefault="009A1265" w:rsidP="00D77B34">
            <w:pPr>
              <w:pStyle w:val="ListParagraph"/>
              <w:numPr>
                <w:ilvl w:val="0"/>
                <w:numId w:val="14"/>
              </w:numPr>
              <w:spacing w:line="240" w:lineRule="auto"/>
              <w:contextualSpacing w:val="0"/>
              <w:rPr>
                <w:rFonts w:cs="Arial"/>
                <w:bCs/>
                <w:szCs w:val="24"/>
              </w:rPr>
            </w:pPr>
            <w:r w:rsidRPr="00D20A1E">
              <w:rPr>
                <w:rFonts w:cs="Arial"/>
                <w:bCs/>
                <w:szCs w:val="24"/>
              </w:rPr>
              <w:t>Collaborate with international &amp; national partners to inform effective practice for assessment and intervention with ākonga who have CVI.</w:t>
            </w:r>
          </w:p>
          <w:p w:rsidR="009A1265" w:rsidRPr="00D20A1E" w:rsidRDefault="009A1265" w:rsidP="00D77B34">
            <w:pPr>
              <w:rPr>
                <w:rFonts w:cs="Arial"/>
                <w:b/>
                <w:bCs/>
                <w:szCs w:val="24"/>
              </w:rPr>
            </w:pPr>
            <w:r w:rsidRPr="00D20A1E">
              <w:rPr>
                <w:rFonts w:cs="Arial"/>
                <w:b/>
                <w:bCs/>
                <w:szCs w:val="24"/>
              </w:rPr>
              <w:t>Staff:</w:t>
            </w:r>
          </w:p>
          <w:p w:rsidR="009A1265" w:rsidRPr="00D20A1E" w:rsidRDefault="009A1265" w:rsidP="00D77B34">
            <w:pPr>
              <w:pStyle w:val="ListParagraph"/>
              <w:numPr>
                <w:ilvl w:val="0"/>
                <w:numId w:val="15"/>
              </w:numPr>
              <w:spacing w:line="240" w:lineRule="auto"/>
              <w:contextualSpacing w:val="0"/>
              <w:rPr>
                <w:rFonts w:cs="Arial"/>
                <w:bCs/>
                <w:szCs w:val="24"/>
              </w:rPr>
            </w:pPr>
            <w:r w:rsidRPr="00D20A1E">
              <w:rPr>
                <w:rFonts w:cs="Arial"/>
                <w:bCs/>
                <w:szCs w:val="24"/>
              </w:rPr>
              <w:t>Further develop induction resources.</w:t>
            </w:r>
          </w:p>
          <w:p w:rsidR="009A1265" w:rsidRPr="00D20A1E" w:rsidRDefault="009A1265" w:rsidP="00D77B34">
            <w:pPr>
              <w:pStyle w:val="ListParagraph"/>
              <w:numPr>
                <w:ilvl w:val="0"/>
                <w:numId w:val="15"/>
              </w:numPr>
              <w:spacing w:line="240" w:lineRule="auto"/>
              <w:contextualSpacing w:val="0"/>
              <w:rPr>
                <w:rFonts w:cs="Arial"/>
                <w:bCs/>
                <w:szCs w:val="24"/>
              </w:rPr>
            </w:pPr>
            <w:r w:rsidRPr="00D20A1E">
              <w:rPr>
                <w:rFonts w:cs="Arial"/>
                <w:bCs/>
                <w:szCs w:val="24"/>
              </w:rPr>
              <w:t>Develop a PLD framework to support policy</w:t>
            </w:r>
          </w:p>
          <w:p w:rsidR="009A1265" w:rsidRPr="00D20A1E" w:rsidRDefault="009A1265" w:rsidP="00D77B34">
            <w:pPr>
              <w:pStyle w:val="ListParagraph"/>
              <w:numPr>
                <w:ilvl w:val="0"/>
                <w:numId w:val="15"/>
              </w:numPr>
              <w:spacing w:line="240" w:lineRule="auto"/>
              <w:contextualSpacing w:val="0"/>
              <w:rPr>
                <w:rFonts w:cs="Arial"/>
                <w:bCs/>
                <w:szCs w:val="24"/>
              </w:rPr>
            </w:pPr>
            <w:r w:rsidRPr="00D20A1E">
              <w:rPr>
                <w:rFonts w:cs="Arial"/>
                <w:bCs/>
                <w:szCs w:val="24"/>
              </w:rPr>
              <w:t>Develop recommendations for VI Post Grad course.</w:t>
            </w:r>
          </w:p>
          <w:p w:rsidR="009A1265" w:rsidRPr="00D20A1E" w:rsidRDefault="009A1265" w:rsidP="00D77B34">
            <w:pPr>
              <w:pStyle w:val="ListParagraph"/>
              <w:numPr>
                <w:ilvl w:val="0"/>
                <w:numId w:val="16"/>
              </w:numPr>
              <w:spacing w:line="240" w:lineRule="auto"/>
              <w:contextualSpacing w:val="0"/>
              <w:rPr>
                <w:rFonts w:cs="Arial"/>
                <w:bCs/>
                <w:szCs w:val="24"/>
              </w:rPr>
            </w:pPr>
            <w:r w:rsidRPr="00D20A1E">
              <w:rPr>
                <w:rFonts w:cs="Arial"/>
                <w:bCs/>
                <w:szCs w:val="24"/>
              </w:rPr>
              <w:t>Initiate a national AFM system of support</w:t>
            </w:r>
          </w:p>
          <w:p w:rsidR="009A1265" w:rsidRPr="00D20A1E" w:rsidRDefault="009A1265" w:rsidP="00D77B34">
            <w:pPr>
              <w:pStyle w:val="ListParagraph"/>
              <w:numPr>
                <w:ilvl w:val="0"/>
                <w:numId w:val="16"/>
              </w:numPr>
              <w:spacing w:line="240" w:lineRule="auto"/>
              <w:contextualSpacing w:val="0"/>
              <w:rPr>
                <w:rFonts w:cs="Arial"/>
                <w:bCs/>
                <w:szCs w:val="24"/>
              </w:rPr>
            </w:pPr>
            <w:r w:rsidRPr="00D20A1E">
              <w:rPr>
                <w:rFonts w:cs="Arial"/>
                <w:bCs/>
                <w:szCs w:val="24"/>
              </w:rPr>
              <w:t>Develop a database of ākonga who are deafblind.</w:t>
            </w:r>
          </w:p>
          <w:p w:rsidR="009A1265" w:rsidRPr="00D20A1E" w:rsidRDefault="009A1265" w:rsidP="00D77B34">
            <w:pPr>
              <w:rPr>
                <w:rFonts w:cs="Arial"/>
                <w:b/>
                <w:bCs/>
                <w:szCs w:val="24"/>
              </w:rPr>
            </w:pPr>
            <w:r w:rsidRPr="00D20A1E">
              <w:rPr>
                <w:rFonts w:cs="Arial"/>
                <w:b/>
                <w:bCs/>
                <w:szCs w:val="24"/>
              </w:rPr>
              <w:t>Property:</w:t>
            </w:r>
          </w:p>
          <w:p w:rsidR="009A1265" w:rsidRPr="00D20A1E" w:rsidRDefault="009A1265" w:rsidP="00D77B34">
            <w:pPr>
              <w:pStyle w:val="ListParagraph"/>
              <w:numPr>
                <w:ilvl w:val="0"/>
                <w:numId w:val="17"/>
              </w:numPr>
              <w:spacing w:line="240" w:lineRule="auto"/>
              <w:contextualSpacing w:val="0"/>
              <w:rPr>
                <w:rFonts w:cs="Arial"/>
                <w:bCs/>
                <w:szCs w:val="24"/>
              </w:rPr>
            </w:pPr>
            <w:r w:rsidRPr="00D20A1E">
              <w:rPr>
                <w:rFonts w:cs="Arial"/>
                <w:bCs/>
                <w:szCs w:val="24"/>
              </w:rPr>
              <w:t>Implement property agreements with MOE</w:t>
            </w:r>
          </w:p>
          <w:p w:rsidR="009A1265" w:rsidRPr="00D20A1E" w:rsidRDefault="009A1265" w:rsidP="00D77B34">
            <w:pPr>
              <w:pStyle w:val="ListParagraph"/>
              <w:numPr>
                <w:ilvl w:val="0"/>
                <w:numId w:val="17"/>
              </w:numPr>
              <w:spacing w:line="240" w:lineRule="auto"/>
              <w:contextualSpacing w:val="0"/>
              <w:rPr>
                <w:rFonts w:cs="Arial"/>
                <w:bCs/>
                <w:szCs w:val="24"/>
              </w:rPr>
            </w:pPr>
            <w:r w:rsidRPr="00D20A1E">
              <w:rPr>
                <w:rFonts w:cs="Arial"/>
                <w:bCs/>
                <w:szCs w:val="24"/>
              </w:rPr>
              <w:t>Progress the sensory schools capital works program.</w:t>
            </w:r>
          </w:p>
          <w:p w:rsidR="009A1265" w:rsidRPr="00D20A1E" w:rsidRDefault="009A1265" w:rsidP="00D77B34">
            <w:pPr>
              <w:pStyle w:val="ListParagraph"/>
              <w:numPr>
                <w:ilvl w:val="0"/>
                <w:numId w:val="17"/>
              </w:numPr>
              <w:spacing w:line="240" w:lineRule="auto"/>
              <w:contextualSpacing w:val="0"/>
              <w:rPr>
                <w:rFonts w:cs="Arial"/>
                <w:bCs/>
                <w:szCs w:val="24"/>
              </w:rPr>
            </w:pPr>
            <w:r w:rsidRPr="00D20A1E">
              <w:rPr>
                <w:rFonts w:cs="Arial"/>
                <w:bCs/>
                <w:szCs w:val="24"/>
              </w:rPr>
              <w:t>Refurbish the BLENNZ Homai Campus swimming pool.</w:t>
            </w:r>
          </w:p>
        </w:tc>
      </w:tr>
    </w:tbl>
    <w:p w:rsidR="00835413" w:rsidRDefault="00835413"/>
    <w:tbl>
      <w:tblPr>
        <w:tblStyle w:val="TableGrid"/>
        <w:tblpPr w:leftFromText="180" w:rightFromText="180" w:vertAnchor="text" w:horzAnchor="margin" w:tblpXSpec="center" w:tblpY="329"/>
        <w:tblW w:w="15480" w:type="dxa"/>
        <w:tblLook w:val="04A0" w:firstRow="1" w:lastRow="0" w:firstColumn="1" w:lastColumn="0" w:noHBand="0" w:noVBand="1"/>
        <w:tblDescription w:val="How goals will be achieved"/>
      </w:tblPr>
      <w:tblGrid>
        <w:gridCol w:w="5130"/>
        <w:gridCol w:w="4590"/>
        <w:gridCol w:w="5760"/>
      </w:tblGrid>
      <w:tr w:rsidR="00835413" w:rsidRPr="003E63AA" w:rsidTr="00AC32D9">
        <w:trPr>
          <w:tblHeader/>
        </w:trPr>
        <w:tc>
          <w:tcPr>
            <w:tcW w:w="5130" w:type="dxa"/>
            <w:tcBorders>
              <w:top w:val="nil"/>
              <w:left w:val="nil"/>
              <w:bottom w:val="nil"/>
              <w:right w:val="single" w:sz="4" w:space="0" w:color="B4C6E7" w:themeColor="accent5" w:themeTint="66"/>
            </w:tcBorders>
            <w:shd w:val="clear" w:color="auto" w:fill="B4C6E7" w:themeFill="accent5" w:themeFillTint="66"/>
          </w:tcPr>
          <w:bookmarkEnd w:id="3"/>
          <w:bookmarkEnd w:id="4"/>
          <w:p w:rsidR="00835413" w:rsidRPr="003E63AA" w:rsidRDefault="00835413" w:rsidP="00835413">
            <w:pPr>
              <w:rPr>
                <w:rFonts w:cs="Arial"/>
                <w:b/>
              </w:rPr>
            </w:pPr>
            <w:r w:rsidRPr="003E63AA">
              <w:rPr>
                <w:rFonts w:cs="Arial"/>
                <w:b/>
              </w:rPr>
              <w:t>We will achieve this by ensuring each ākonga learning is informed by:</w:t>
            </w:r>
          </w:p>
        </w:tc>
        <w:tc>
          <w:tcPr>
            <w:tcW w:w="4590" w:type="dxa"/>
            <w:tcBorders>
              <w:top w:val="nil"/>
              <w:left w:val="single" w:sz="4" w:space="0" w:color="B4C6E7" w:themeColor="accent5" w:themeTint="66"/>
              <w:bottom w:val="nil"/>
              <w:right w:val="single" w:sz="4" w:space="0" w:color="B4C6E7" w:themeColor="accent5" w:themeTint="66"/>
            </w:tcBorders>
            <w:shd w:val="clear" w:color="auto" w:fill="B4C6E7" w:themeFill="accent5" w:themeFillTint="66"/>
          </w:tcPr>
          <w:p w:rsidR="00835413" w:rsidRPr="003E63AA" w:rsidRDefault="00835413" w:rsidP="00835413">
            <w:pPr>
              <w:rPr>
                <w:rFonts w:cs="Arial"/>
                <w:b/>
              </w:rPr>
            </w:pPr>
            <w:r w:rsidRPr="003E63AA">
              <w:rPr>
                <w:rFonts w:cs="Arial"/>
                <w:b/>
              </w:rPr>
              <w:t>We will achieve this through:</w:t>
            </w:r>
          </w:p>
        </w:tc>
        <w:tc>
          <w:tcPr>
            <w:tcW w:w="5760" w:type="dxa"/>
            <w:tcBorders>
              <w:top w:val="nil"/>
              <w:left w:val="single" w:sz="4" w:space="0" w:color="B4C6E7" w:themeColor="accent5" w:themeTint="66"/>
              <w:bottom w:val="nil"/>
              <w:right w:val="nil"/>
            </w:tcBorders>
            <w:shd w:val="clear" w:color="auto" w:fill="B4C6E7" w:themeFill="accent5" w:themeFillTint="66"/>
          </w:tcPr>
          <w:p w:rsidR="00835413" w:rsidRPr="003E63AA" w:rsidRDefault="00835413" w:rsidP="00835413">
            <w:pPr>
              <w:rPr>
                <w:rFonts w:cs="Arial"/>
                <w:b/>
              </w:rPr>
            </w:pPr>
            <w:r w:rsidRPr="003E63AA">
              <w:rPr>
                <w:rFonts w:cs="Arial"/>
                <w:b/>
              </w:rPr>
              <w:t>We will achieve this by:</w:t>
            </w:r>
          </w:p>
        </w:tc>
      </w:tr>
      <w:tr w:rsidR="00835413" w:rsidRPr="003E63AA" w:rsidTr="00AC32D9">
        <w:tc>
          <w:tcPr>
            <w:tcW w:w="5130" w:type="dxa"/>
            <w:tcBorders>
              <w:top w:val="nil"/>
              <w:left w:val="nil"/>
              <w:bottom w:val="nil"/>
              <w:right w:val="nil"/>
            </w:tcBorders>
          </w:tcPr>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The use of evidenced based tools and processes that inform learning in the Expanded Core Curriculum.</w:t>
            </w:r>
          </w:p>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BLENNZ teachers who clearly demonstrate evidence based practice across the Expanded Core Curriculum.</w:t>
            </w:r>
          </w:p>
          <w:p w:rsidR="00835413" w:rsidRPr="0046082E" w:rsidRDefault="00835413" w:rsidP="00835413">
            <w:pPr>
              <w:rPr>
                <w:rFonts w:cs="Arial"/>
              </w:rPr>
            </w:pPr>
          </w:p>
        </w:tc>
        <w:tc>
          <w:tcPr>
            <w:tcW w:w="4590" w:type="dxa"/>
            <w:tcBorders>
              <w:top w:val="nil"/>
              <w:left w:val="nil"/>
              <w:bottom w:val="nil"/>
              <w:right w:val="nil"/>
            </w:tcBorders>
          </w:tcPr>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BLENNZ providing effective communication and consultation with whānau.</w:t>
            </w:r>
          </w:p>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Staff who provide parents and whānau with access to information about BLENNZ and other established networks where appropriate.</w:t>
            </w:r>
          </w:p>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Staff who recognise parents and whānau as the primary educator.</w:t>
            </w:r>
          </w:p>
        </w:tc>
        <w:tc>
          <w:tcPr>
            <w:tcW w:w="5760" w:type="dxa"/>
            <w:tcBorders>
              <w:top w:val="nil"/>
              <w:left w:val="nil"/>
              <w:bottom w:val="nil"/>
              <w:right w:val="nil"/>
            </w:tcBorders>
          </w:tcPr>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BLENNZ fully utilising the Network to support provision of a consistent service.</w:t>
            </w:r>
          </w:p>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Providing professional development to support the development of succession and leadership across the teaching team.</w:t>
            </w:r>
          </w:p>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Resources to support learning are available, well managed and able to be accessed across the network.</w:t>
            </w:r>
          </w:p>
          <w:p w:rsidR="00835413" w:rsidRPr="003E63AA" w:rsidRDefault="00835413" w:rsidP="00835413">
            <w:pPr>
              <w:pStyle w:val="ListParagraph"/>
              <w:numPr>
                <w:ilvl w:val="0"/>
                <w:numId w:val="18"/>
              </w:numPr>
              <w:spacing w:after="200" w:line="276" w:lineRule="auto"/>
              <w:contextualSpacing w:val="0"/>
              <w:rPr>
                <w:rFonts w:cs="Arial"/>
                <w:szCs w:val="24"/>
              </w:rPr>
            </w:pPr>
            <w:r w:rsidRPr="003E63AA">
              <w:rPr>
                <w:rFonts w:cs="Arial"/>
                <w:szCs w:val="24"/>
              </w:rPr>
              <w:t>Learning environments are appropriate for BLENNZ learners.</w:t>
            </w:r>
          </w:p>
        </w:tc>
      </w:tr>
    </w:tbl>
    <w:p w:rsidR="00D20A1E" w:rsidRDefault="00D20A1E"/>
    <w:p w:rsidR="009A1265" w:rsidRDefault="009A1265">
      <w:pPr>
        <w:rPr>
          <w:b/>
          <w:sz w:val="40"/>
          <w:szCs w:val="40"/>
        </w:rPr>
      </w:pPr>
      <w:r>
        <w:rPr>
          <w:b/>
          <w:sz w:val="40"/>
          <w:szCs w:val="40"/>
        </w:rPr>
        <w:br w:type="page"/>
      </w:r>
    </w:p>
    <w:p w:rsidR="001C1241" w:rsidRDefault="00450796" w:rsidP="00136F58">
      <w:pPr>
        <w:tabs>
          <w:tab w:val="left" w:pos="540"/>
        </w:tabs>
        <w:ind w:left="450"/>
        <w:rPr>
          <w:b/>
          <w:sz w:val="40"/>
          <w:szCs w:val="40"/>
        </w:rPr>
      </w:pPr>
      <w:r>
        <w:rPr>
          <w:b/>
          <w:sz w:val="40"/>
          <w:szCs w:val="40"/>
        </w:rPr>
        <w:lastRenderedPageBreak/>
        <w:t>Annual Plan 2018</w:t>
      </w:r>
    </w:p>
    <w:p w:rsidR="00450796" w:rsidRDefault="00450796" w:rsidP="00450796">
      <w:pPr>
        <w:ind w:left="450"/>
        <w:rPr>
          <w:b/>
          <w:szCs w:val="24"/>
        </w:rPr>
      </w:pPr>
      <w:r w:rsidRPr="00835413">
        <w:rPr>
          <w:rStyle w:val="Heading2Char"/>
        </w:rPr>
        <w:t>Goal 1</w:t>
      </w:r>
      <w:r>
        <w:rPr>
          <w:b/>
          <w:szCs w:val="24"/>
        </w:rPr>
        <w:t>:</w:t>
      </w:r>
    </w:p>
    <w:p w:rsidR="00D76E71" w:rsidRDefault="00DD49D9" w:rsidP="001145FC">
      <w:pPr>
        <w:ind w:left="450"/>
        <w:rPr>
          <w:b/>
          <w:sz w:val="28"/>
          <w:szCs w:val="24"/>
        </w:rPr>
      </w:pPr>
      <w:r w:rsidRPr="002920E0">
        <w:rPr>
          <w:b/>
          <w:sz w:val="28"/>
          <w:szCs w:val="24"/>
        </w:rPr>
        <w:t>All learners are supported by BLENNZ to achieve their full potential through the use of evidence-based practice</w:t>
      </w:r>
    </w:p>
    <w:p w:rsidR="00DD49D9" w:rsidRPr="00DD49D9" w:rsidRDefault="00DD49D9" w:rsidP="001145FC">
      <w:pPr>
        <w:ind w:left="450"/>
        <w:rPr>
          <w:szCs w:val="24"/>
        </w:rPr>
      </w:pPr>
      <w:r>
        <w:rPr>
          <w:noProof/>
          <w:lang w:val="en-US"/>
        </w:rPr>
        <w:drawing>
          <wp:inline distT="0" distB="0" distL="0" distR="0" wp14:anchorId="56B2A221" wp14:editId="1E02A993">
            <wp:extent cx="3195590" cy="2396691"/>
            <wp:effectExtent l="0" t="0" r="5080" b="3810"/>
            <wp:docPr id="43" name="Picture 43" descr="Dylan used his lap top and a printer to create labels for his poster." title="Dylan Creating Hi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8115" cy="2413585"/>
                    </a:xfrm>
                    <a:prstGeom prst="rect">
                      <a:avLst/>
                    </a:prstGeom>
                  </pic:spPr>
                </pic:pic>
              </a:graphicData>
            </a:graphic>
          </wp:inline>
        </w:drawing>
      </w:r>
      <w:r>
        <w:rPr>
          <w:noProof/>
        </w:rPr>
        <w:t xml:space="preserve"> </w:t>
      </w:r>
      <w:r w:rsidR="004E6142">
        <w:rPr>
          <w:noProof/>
        </w:rPr>
        <w:t xml:space="preserve"> </w:t>
      </w:r>
      <w:r w:rsidR="004E6142" w:rsidRPr="007C5703">
        <w:rPr>
          <w:noProof/>
          <w:color w:val="FF0000"/>
          <w:lang w:val="en-US"/>
        </w:rPr>
        <w:drawing>
          <wp:inline distT="0" distB="0" distL="0" distR="0" wp14:anchorId="145F5B2B" wp14:editId="293935BF">
            <wp:extent cx="3549643" cy="2367815"/>
            <wp:effectExtent l="0" t="0" r="0" b="0"/>
            <wp:docPr id="10" name="Picture 10" descr="Brianna and Brayden working on their BrailleSense and laptop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ual Report Contributions\2017\IMG_234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43419" cy="2430369"/>
                    </a:xfrm>
                    <a:prstGeom prst="rect">
                      <a:avLst/>
                    </a:prstGeom>
                    <a:noFill/>
                    <a:ln>
                      <a:noFill/>
                    </a:ln>
                  </pic:spPr>
                </pic:pic>
              </a:graphicData>
            </a:graphic>
          </wp:inline>
        </w:drawing>
      </w:r>
      <w:r>
        <w:rPr>
          <w:noProof/>
        </w:rPr>
        <w:t xml:space="preserve"> </w:t>
      </w:r>
      <w:r w:rsidR="004E6142">
        <w:rPr>
          <w:noProof/>
        </w:rPr>
        <w:t xml:space="preserve"> </w:t>
      </w:r>
      <w:r w:rsidR="004E6142" w:rsidRPr="002F7D7D">
        <w:rPr>
          <w:noProof/>
          <w:lang w:val="en-US"/>
        </w:rPr>
        <w:drawing>
          <wp:inline distT="0" distB="0" distL="0" distR="0" wp14:anchorId="5AA65FB3" wp14:editId="3BB22F58">
            <wp:extent cx="3157084" cy="2367814"/>
            <wp:effectExtent l="0" t="0" r="5715" b="0"/>
            <wp:docPr id="11" name="Picture 11" descr="Students teaching and learning from each 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ual Report Contributions\2017\IMG_224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26388" cy="2419792"/>
                    </a:xfrm>
                    <a:prstGeom prst="rect">
                      <a:avLst/>
                    </a:prstGeom>
                    <a:noFill/>
                    <a:ln>
                      <a:noFill/>
                    </a:ln>
                  </pic:spPr>
                </pic:pic>
              </a:graphicData>
            </a:graphic>
          </wp:inline>
        </w:drawing>
      </w:r>
    </w:p>
    <w:p w:rsidR="00D76E71" w:rsidRDefault="00D76E71" w:rsidP="00835413">
      <w:pPr>
        <w:spacing w:after="0" w:line="288" w:lineRule="auto"/>
        <w:ind w:left="446"/>
        <w:rPr>
          <w:b/>
          <w:szCs w:val="24"/>
        </w:rPr>
      </w:pPr>
    </w:p>
    <w:p w:rsidR="00450796" w:rsidRDefault="00450796" w:rsidP="00835413">
      <w:pPr>
        <w:spacing w:after="0" w:line="288" w:lineRule="auto"/>
        <w:ind w:left="446"/>
        <w:rPr>
          <w:szCs w:val="24"/>
        </w:rPr>
      </w:pPr>
      <w:r w:rsidRPr="00450796">
        <w:rPr>
          <w:b/>
          <w:szCs w:val="24"/>
        </w:rPr>
        <w:t>Objective 1:</w:t>
      </w:r>
      <w:r w:rsidRPr="00450796">
        <w:rPr>
          <w:szCs w:val="24"/>
        </w:rPr>
        <w:tab/>
      </w:r>
      <w:r w:rsidR="00724395">
        <w:rPr>
          <w:szCs w:val="24"/>
        </w:rPr>
        <w:t>U</w:t>
      </w:r>
      <w:r w:rsidRPr="00450796">
        <w:rPr>
          <w:szCs w:val="24"/>
        </w:rPr>
        <w:t>ndertake professional learning to strengthen the skills of curricula leaders in the inquir</w:t>
      </w:r>
      <w:r>
        <w:rPr>
          <w:szCs w:val="24"/>
        </w:rPr>
        <w:t>y process</w:t>
      </w:r>
      <w:r w:rsidR="00A12D4A">
        <w:rPr>
          <w:szCs w:val="24"/>
        </w:rPr>
        <w:t>.</w:t>
      </w:r>
    </w:p>
    <w:p w:rsidR="00450796" w:rsidRDefault="00450796" w:rsidP="00835413">
      <w:pPr>
        <w:spacing w:after="0" w:line="288" w:lineRule="auto"/>
        <w:ind w:left="446"/>
        <w:rPr>
          <w:szCs w:val="24"/>
        </w:rPr>
      </w:pPr>
      <w:r>
        <w:rPr>
          <w:b/>
          <w:szCs w:val="24"/>
        </w:rPr>
        <w:t>Objective 2:</w:t>
      </w:r>
      <w:r>
        <w:rPr>
          <w:szCs w:val="24"/>
        </w:rPr>
        <w:tab/>
        <w:t>Focus on</w:t>
      </w:r>
      <w:r w:rsidR="00A12D4A">
        <w:rPr>
          <w:szCs w:val="24"/>
        </w:rPr>
        <w:t xml:space="preserve"> numeracy achievement of ākonga.</w:t>
      </w:r>
    </w:p>
    <w:p w:rsidR="00450796" w:rsidRDefault="00450796" w:rsidP="00835413">
      <w:pPr>
        <w:spacing w:after="0" w:line="288" w:lineRule="auto"/>
        <w:ind w:left="446"/>
        <w:rPr>
          <w:szCs w:val="24"/>
        </w:rPr>
      </w:pPr>
      <w:r>
        <w:rPr>
          <w:b/>
          <w:szCs w:val="24"/>
        </w:rPr>
        <w:t>Objective 3:</w:t>
      </w:r>
      <w:r>
        <w:rPr>
          <w:szCs w:val="24"/>
        </w:rPr>
        <w:tab/>
        <w:t xml:space="preserve">Implement the online hubs which become the repository of </w:t>
      </w:r>
      <w:r w:rsidR="005963EC">
        <w:rPr>
          <w:szCs w:val="24"/>
        </w:rPr>
        <w:t>curricula</w:t>
      </w:r>
      <w:r>
        <w:rPr>
          <w:szCs w:val="24"/>
        </w:rPr>
        <w:t xml:space="preserve">/pedagogical </w:t>
      </w:r>
      <w:r w:rsidR="005963EC">
        <w:rPr>
          <w:szCs w:val="24"/>
        </w:rPr>
        <w:t>resources</w:t>
      </w:r>
      <w:r>
        <w:rPr>
          <w:szCs w:val="24"/>
        </w:rPr>
        <w:t xml:space="preserve"> and base for learning communities</w:t>
      </w:r>
      <w:r w:rsidR="00A12D4A">
        <w:rPr>
          <w:szCs w:val="24"/>
        </w:rPr>
        <w:t>.</w:t>
      </w:r>
    </w:p>
    <w:p w:rsidR="00450796" w:rsidRDefault="00450796" w:rsidP="00835413">
      <w:pPr>
        <w:spacing w:after="0" w:line="288" w:lineRule="auto"/>
        <w:ind w:left="446"/>
        <w:rPr>
          <w:szCs w:val="24"/>
        </w:rPr>
      </w:pPr>
      <w:r>
        <w:rPr>
          <w:b/>
          <w:szCs w:val="24"/>
        </w:rPr>
        <w:t>Objective 4:</w:t>
      </w:r>
      <w:r>
        <w:rPr>
          <w:szCs w:val="24"/>
        </w:rPr>
        <w:tab/>
      </w:r>
      <w:r w:rsidR="00724395">
        <w:rPr>
          <w:szCs w:val="24"/>
        </w:rPr>
        <w:t>Homai Early Childhood Centre strategic path thro</w:t>
      </w:r>
      <w:r w:rsidR="00A12D4A">
        <w:rPr>
          <w:szCs w:val="24"/>
        </w:rPr>
        <w:t>ugh a teacher led inquiry model.</w:t>
      </w:r>
    </w:p>
    <w:p w:rsidR="00724395" w:rsidRDefault="00724395" w:rsidP="00835413">
      <w:pPr>
        <w:spacing w:after="0" w:line="288" w:lineRule="auto"/>
        <w:ind w:left="446"/>
        <w:rPr>
          <w:szCs w:val="24"/>
        </w:rPr>
      </w:pPr>
      <w:r>
        <w:rPr>
          <w:b/>
          <w:szCs w:val="24"/>
        </w:rPr>
        <w:t>Objective 5:</w:t>
      </w:r>
      <w:r>
        <w:rPr>
          <w:szCs w:val="24"/>
        </w:rPr>
        <w:tab/>
        <w:t>Residential programme pathways for transition using an evidence based approach.</w:t>
      </w:r>
    </w:p>
    <w:p w:rsidR="00724395" w:rsidRDefault="00724395" w:rsidP="00450796">
      <w:pPr>
        <w:spacing w:after="0" w:line="240" w:lineRule="auto"/>
        <w:ind w:left="450"/>
        <w:rPr>
          <w:szCs w:val="24"/>
        </w:rPr>
      </w:pPr>
    </w:p>
    <w:p w:rsidR="00136F58" w:rsidRDefault="00136F58">
      <w:pPr>
        <w:rPr>
          <w:rFonts w:eastAsiaTheme="majorEastAsia" w:cstheme="majorBidi"/>
          <w:b/>
          <w:sz w:val="32"/>
          <w:szCs w:val="26"/>
        </w:rPr>
      </w:pPr>
      <w:r>
        <w:br w:type="page"/>
      </w:r>
    </w:p>
    <w:p w:rsidR="00724395" w:rsidRDefault="00724395" w:rsidP="00835413">
      <w:pPr>
        <w:pStyle w:val="Heading2"/>
      </w:pPr>
      <w:r>
        <w:lastRenderedPageBreak/>
        <w:t>Goal 2:</w:t>
      </w:r>
      <w:r w:rsidR="00CC4579">
        <w:t xml:space="preserve"> </w:t>
      </w:r>
      <w:r w:rsidR="00E76050">
        <w:t xml:space="preserve"> </w:t>
      </w:r>
    </w:p>
    <w:p w:rsidR="00976E4E" w:rsidRDefault="00724395" w:rsidP="00976E4E">
      <w:pPr>
        <w:spacing w:after="0" w:line="288" w:lineRule="auto"/>
        <w:ind w:left="450" w:right="620"/>
        <w:rPr>
          <w:b/>
          <w:szCs w:val="24"/>
        </w:rPr>
      </w:pPr>
      <w:r w:rsidRPr="002920E0">
        <w:rPr>
          <w:b/>
          <w:sz w:val="28"/>
          <w:szCs w:val="24"/>
        </w:rPr>
        <w:t>Learner process and achievement is enriched through the building and strengthening of effective learning-centred relationships with each learner’s whānau.</w:t>
      </w:r>
    </w:p>
    <w:p w:rsidR="002A199E" w:rsidRDefault="00F26246" w:rsidP="00835413">
      <w:pPr>
        <w:spacing w:after="0" w:line="288" w:lineRule="auto"/>
        <w:ind w:left="450"/>
        <w:rPr>
          <w:b/>
          <w:szCs w:val="24"/>
        </w:rPr>
      </w:pPr>
      <w:r>
        <w:rPr>
          <w:b/>
          <w:szCs w:val="24"/>
        </w:rPr>
        <w:t xml:space="preserve"> </w:t>
      </w:r>
      <w:r w:rsidR="003611C9">
        <w:rPr>
          <w:rFonts w:eastAsia="Times New Roman"/>
          <w:noProof/>
          <w:color w:val="000000" w:themeColor="text1"/>
          <w:lang w:val="en-US"/>
        </w:rPr>
        <w:drawing>
          <wp:inline distT="0" distB="0" distL="0" distR="0" wp14:anchorId="47749BFB" wp14:editId="5F90BDB4">
            <wp:extent cx="3264196" cy="2449875"/>
            <wp:effectExtent l="0" t="0" r="0" b="7620"/>
            <wp:docPr id="4" name="Picture 4" descr="Student looking at and touching large yellow l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alina:Desktop:8-9-17 (10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78369" cy="2460512"/>
                    </a:xfrm>
                    <a:prstGeom prst="rect">
                      <a:avLst/>
                    </a:prstGeom>
                    <a:noFill/>
                    <a:ln>
                      <a:noFill/>
                    </a:ln>
                  </pic:spPr>
                </pic:pic>
              </a:graphicData>
            </a:graphic>
          </wp:inline>
        </w:drawing>
      </w:r>
      <w:r w:rsidR="00976E4E">
        <w:rPr>
          <w:b/>
          <w:noProof/>
          <w:szCs w:val="24"/>
          <w:lang w:val="en-US"/>
        </w:rPr>
        <w:t xml:space="preserve"> </w:t>
      </w:r>
      <w:r w:rsidR="00976E4E" w:rsidRPr="00976E4E">
        <w:rPr>
          <w:b/>
          <w:noProof/>
          <w:szCs w:val="24"/>
          <w:lang w:val="en-US"/>
        </w:rPr>
        <w:drawing>
          <wp:inline distT="0" distB="0" distL="0" distR="0" wp14:anchorId="58E673EB" wp14:editId="1BF9E0D4">
            <wp:extent cx="3148058" cy="1887949"/>
            <wp:effectExtent l="1270" t="0" r="0" b="0"/>
            <wp:docPr id="2" name="Picture 2" descr="Ana Cooper-Fuauli and mum Serene Cooper during during Immersion Cours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mersion\Courses\2017 courses\Term Three\Go Go Go - Learning the Language of Lines T3Wk8\Photos\Janny\20170915_092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3176536" cy="1905028"/>
                    </a:xfrm>
                    <a:prstGeom prst="rect">
                      <a:avLst/>
                    </a:prstGeom>
                    <a:noFill/>
                    <a:ln>
                      <a:noFill/>
                    </a:ln>
                  </pic:spPr>
                </pic:pic>
              </a:graphicData>
            </a:graphic>
          </wp:inline>
        </w:drawing>
      </w:r>
      <w:r w:rsidR="00976E4E">
        <w:rPr>
          <w:b/>
          <w:noProof/>
          <w:szCs w:val="24"/>
          <w:lang w:val="en-US"/>
        </w:rPr>
        <w:t xml:space="preserve"> </w:t>
      </w:r>
      <w:r w:rsidR="00976E4E">
        <w:rPr>
          <w:b/>
          <w:noProof/>
          <w:szCs w:val="24"/>
          <w:lang w:val="en-US"/>
        </w:rPr>
        <w:drawing>
          <wp:inline distT="0" distB="0" distL="0" distR="0" wp14:anchorId="657C76C9" wp14:editId="72E5F700">
            <wp:extent cx="4040371" cy="2424223"/>
            <wp:effectExtent l="0" t="0" r="0" b="0"/>
            <wp:docPr id="3" name="Picture 3" descr="Ana Cooper-Fuauli and mum Serene Cooper making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915_1503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71375" cy="2442825"/>
                    </a:xfrm>
                    <a:prstGeom prst="rect">
                      <a:avLst/>
                    </a:prstGeom>
                  </pic:spPr>
                </pic:pic>
              </a:graphicData>
            </a:graphic>
          </wp:inline>
        </w:drawing>
      </w:r>
    </w:p>
    <w:p w:rsidR="00901012" w:rsidRDefault="00901012" w:rsidP="00835413">
      <w:pPr>
        <w:spacing w:after="0" w:line="288" w:lineRule="auto"/>
        <w:ind w:left="450"/>
        <w:rPr>
          <w:b/>
          <w:szCs w:val="24"/>
        </w:rPr>
      </w:pPr>
    </w:p>
    <w:p w:rsidR="00724395" w:rsidRDefault="00724395" w:rsidP="00835413">
      <w:pPr>
        <w:spacing w:after="0" w:line="288" w:lineRule="auto"/>
        <w:ind w:left="450"/>
        <w:rPr>
          <w:b/>
          <w:szCs w:val="24"/>
        </w:rPr>
      </w:pPr>
    </w:p>
    <w:p w:rsidR="00724395" w:rsidRDefault="00724395" w:rsidP="00835413">
      <w:pPr>
        <w:spacing w:after="0" w:line="288" w:lineRule="auto"/>
        <w:ind w:left="450"/>
        <w:rPr>
          <w:szCs w:val="24"/>
        </w:rPr>
      </w:pPr>
      <w:r>
        <w:rPr>
          <w:b/>
          <w:szCs w:val="24"/>
        </w:rPr>
        <w:t>Objective 1:</w:t>
      </w:r>
      <w:r>
        <w:rPr>
          <w:szCs w:val="24"/>
        </w:rPr>
        <w:tab/>
        <w:t>The Board will initiate regional consultation with a view to hearing the voice of whānau.</w:t>
      </w:r>
    </w:p>
    <w:p w:rsidR="00724395" w:rsidRDefault="00724395" w:rsidP="00835413">
      <w:pPr>
        <w:spacing w:after="0" w:line="288" w:lineRule="auto"/>
        <w:ind w:left="450"/>
        <w:rPr>
          <w:szCs w:val="24"/>
        </w:rPr>
      </w:pPr>
      <w:r>
        <w:rPr>
          <w:b/>
          <w:szCs w:val="24"/>
        </w:rPr>
        <w:t>Objective 2:</w:t>
      </w:r>
      <w:r>
        <w:rPr>
          <w:szCs w:val="24"/>
        </w:rPr>
        <w:tab/>
        <w:t>All team leaders wil</w:t>
      </w:r>
      <w:r w:rsidR="00CC4579">
        <w:rPr>
          <w:szCs w:val="24"/>
        </w:rPr>
        <w:t>l embed the provision of a b</w:t>
      </w:r>
      <w:r>
        <w:rPr>
          <w:szCs w:val="24"/>
        </w:rPr>
        <w:t>iannual team newsletter and an annual regional whānau event in practice.</w:t>
      </w:r>
    </w:p>
    <w:p w:rsidR="00724395" w:rsidRDefault="00724395" w:rsidP="00835413">
      <w:pPr>
        <w:spacing w:after="0" w:line="288" w:lineRule="auto"/>
        <w:ind w:left="450"/>
        <w:rPr>
          <w:szCs w:val="24"/>
        </w:rPr>
      </w:pPr>
      <w:r>
        <w:rPr>
          <w:b/>
          <w:szCs w:val="24"/>
        </w:rPr>
        <w:t>Objective 3:</w:t>
      </w:r>
      <w:r>
        <w:rPr>
          <w:szCs w:val="24"/>
        </w:rPr>
        <w:tab/>
        <w:t xml:space="preserve">Establish and </w:t>
      </w:r>
      <w:r w:rsidR="005963EC">
        <w:rPr>
          <w:szCs w:val="24"/>
        </w:rPr>
        <w:t>initiate</w:t>
      </w:r>
      <w:r>
        <w:rPr>
          <w:szCs w:val="24"/>
        </w:rPr>
        <w:t xml:space="preserve"> an online content development work plan reflecting the needs of whānau.</w:t>
      </w:r>
    </w:p>
    <w:p w:rsidR="00724395" w:rsidRDefault="00724395" w:rsidP="00835413">
      <w:pPr>
        <w:spacing w:after="0" w:line="288" w:lineRule="auto"/>
        <w:ind w:left="450"/>
        <w:rPr>
          <w:szCs w:val="24"/>
        </w:rPr>
      </w:pPr>
      <w:r>
        <w:rPr>
          <w:b/>
          <w:szCs w:val="24"/>
        </w:rPr>
        <w:t>Objective 4:</w:t>
      </w:r>
      <w:r>
        <w:rPr>
          <w:szCs w:val="24"/>
        </w:rPr>
        <w:tab/>
        <w:t>Raise awareness of an increase the cultural competency of the BLENNZ teaching team.</w:t>
      </w:r>
    </w:p>
    <w:p w:rsidR="00724395" w:rsidRDefault="00724395" w:rsidP="00835413">
      <w:pPr>
        <w:spacing w:after="0" w:line="288" w:lineRule="auto"/>
        <w:ind w:left="2160" w:right="440" w:hanging="1710"/>
        <w:rPr>
          <w:szCs w:val="24"/>
        </w:rPr>
      </w:pPr>
      <w:r>
        <w:rPr>
          <w:b/>
          <w:szCs w:val="24"/>
        </w:rPr>
        <w:t>Objective 5:</w:t>
      </w:r>
      <w:r>
        <w:rPr>
          <w:szCs w:val="24"/>
        </w:rPr>
        <w:tab/>
        <w:t>Collaborate with education and health teams in an initiative to inform the development of parent leadership in visioning and goal setting – Now and Next.</w:t>
      </w:r>
    </w:p>
    <w:p w:rsidR="00724395" w:rsidRDefault="00724395" w:rsidP="00835413">
      <w:pPr>
        <w:spacing w:after="0" w:line="288" w:lineRule="auto"/>
        <w:ind w:left="2160" w:right="440" w:hanging="1710"/>
        <w:rPr>
          <w:szCs w:val="24"/>
        </w:rPr>
      </w:pPr>
      <w:r>
        <w:rPr>
          <w:b/>
          <w:szCs w:val="24"/>
        </w:rPr>
        <w:t>Objective 6:</w:t>
      </w:r>
      <w:r>
        <w:rPr>
          <w:szCs w:val="24"/>
        </w:rPr>
        <w:tab/>
        <w:t xml:space="preserve">A teaching team will engage in the ‘my working world’ programme to enhance their </w:t>
      </w:r>
      <w:r w:rsidR="005963EC">
        <w:rPr>
          <w:szCs w:val="24"/>
        </w:rPr>
        <w:t>reflective</w:t>
      </w:r>
      <w:r>
        <w:rPr>
          <w:szCs w:val="24"/>
        </w:rPr>
        <w:t xml:space="preserve"> practice resulting in stronger professional and parent relationships.</w:t>
      </w:r>
    </w:p>
    <w:p w:rsidR="00724395" w:rsidRDefault="00724395" w:rsidP="00835413">
      <w:pPr>
        <w:spacing w:after="0" w:line="288" w:lineRule="auto"/>
        <w:ind w:left="2160" w:right="440" w:hanging="1710"/>
        <w:rPr>
          <w:szCs w:val="24"/>
        </w:rPr>
      </w:pPr>
    </w:p>
    <w:p w:rsidR="00724395" w:rsidRDefault="00724395" w:rsidP="00136F58">
      <w:pPr>
        <w:pStyle w:val="Heading2"/>
      </w:pPr>
      <w:r>
        <w:lastRenderedPageBreak/>
        <w:t>Goal 3:</w:t>
      </w:r>
    </w:p>
    <w:p w:rsidR="00724395" w:rsidRPr="002920E0" w:rsidRDefault="00724395" w:rsidP="00835413">
      <w:pPr>
        <w:spacing w:after="0" w:line="288" w:lineRule="auto"/>
        <w:ind w:left="2160" w:right="446" w:hanging="1714"/>
        <w:rPr>
          <w:b/>
          <w:sz w:val="28"/>
          <w:szCs w:val="24"/>
        </w:rPr>
      </w:pPr>
      <w:r w:rsidRPr="002920E0">
        <w:rPr>
          <w:b/>
          <w:sz w:val="28"/>
          <w:szCs w:val="24"/>
        </w:rPr>
        <w:t>Learning is enhanced through the appropriate use of BLENNZ resources, systems and organisational relationships.</w:t>
      </w:r>
    </w:p>
    <w:p w:rsidR="00352FA7" w:rsidRDefault="00901012" w:rsidP="00835413">
      <w:pPr>
        <w:spacing w:after="0" w:line="288" w:lineRule="auto"/>
        <w:ind w:left="2160" w:right="446" w:hanging="1714"/>
        <w:rPr>
          <w:noProof/>
        </w:rPr>
      </w:pPr>
      <w:r w:rsidRPr="00987DC1">
        <w:rPr>
          <w:noProof/>
          <w:lang w:val="en-US"/>
        </w:rPr>
        <w:drawing>
          <wp:inline distT="0" distB="0" distL="0" distR="0">
            <wp:extent cx="3094074" cy="2320727"/>
            <wp:effectExtent l="0" t="0" r="0" b="3810"/>
            <wp:docPr id="54" name="Picture 54" descr="Student in school uniform and wearing headphones is sitting at his desk. He is adding Alt Text to a document on his Jaws laptop. on the adjacent desk is a Braillenote, several Cranmar abacuses. " title="Amitoj adding Alt Text to  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fs01\HomeDrives\mprice\My Documents\My Pictures\annual plan report 2017\IMG_1540 amitoj adding alt tex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763" cy="2343745"/>
                    </a:xfrm>
                    <a:prstGeom prst="rect">
                      <a:avLst/>
                    </a:prstGeom>
                    <a:noFill/>
                    <a:ln>
                      <a:noFill/>
                    </a:ln>
                  </pic:spPr>
                </pic:pic>
              </a:graphicData>
            </a:graphic>
          </wp:inline>
        </w:drawing>
      </w:r>
      <w:r w:rsidR="005C5F9B">
        <w:rPr>
          <w:b/>
          <w:noProof/>
          <w:szCs w:val="24"/>
          <w:lang w:val="en-US"/>
        </w:rPr>
        <w:t xml:space="preserve">  </w:t>
      </w:r>
      <w:r w:rsidR="005C5F9B">
        <w:rPr>
          <w:noProof/>
          <w:sz w:val="32"/>
          <w:szCs w:val="32"/>
          <w:lang w:val="en-US"/>
        </w:rPr>
        <w:drawing>
          <wp:inline distT="0" distB="0" distL="0" distR="0" wp14:anchorId="4D217364" wp14:editId="1754B406">
            <wp:extent cx="3072810" cy="2299482"/>
            <wp:effectExtent l="0" t="0" r="0" b="5715"/>
            <wp:docPr id="55" name="Picture 55" descr="Isabelle lies under the hanging frame surrounded by neon objects which glow under the UV light.  She is active, looking and batting at the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belle lies under the hanging frame surrounded by neon objects which glow under the UV light.  She is active, looking and batting at the objects."/>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221895" cy="2411047"/>
                    </a:xfrm>
                    <a:prstGeom prst="rect">
                      <a:avLst/>
                    </a:prstGeom>
                    <a:noFill/>
                    <a:ln>
                      <a:noFill/>
                    </a:ln>
                  </pic:spPr>
                </pic:pic>
              </a:graphicData>
            </a:graphic>
          </wp:inline>
        </w:drawing>
      </w:r>
      <w:r>
        <w:rPr>
          <w:noProof/>
        </w:rPr>
        <w:t xml:space="preserve">   </w:t>
      </w:r>
      <w:r w:rsidRPr="00FC1175">
        <w:rPr>
          <w:noProof/>
          <w:lang w:val="en-US"/>
        </w:rPr>
        <w:drawing>
          <wp:inline distT="0" distB="0" distL="0" distR="0" wp14:anchorId="28B7EECC" wp14:editId="3350E1A6">
            <wp:extent cx="3030279" cy="2270937"/>
            <wp:effectExtent l="0" t="0" r="0" b="0"/>
            <wp:docPr id="60" name="Picture 60" descr="Robert and Tane sitting side by side exploring bra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ual Report Contributions\2017\IMG_059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109714" cy="2330467"/>
                    </a:xfrm>
                    <a:prstGeom prst="rect">
                      <a:avLst/>
                    </a:prstGeom>
                    <a:noFill/>
                    <a:ln>
                      <a:noFill/>
                    </a:ln>
                  </pic:spPr>
                </pic:pic>
              </a:graphicData>
            </a:graphic>
          </wp:inline>
        </w:drawing>
      </w:r>
    </w:p>
    <w:p w:rsidR="00724395" w:rsidRDefault="00724395" w:rsidP="00352FA7">
      <w:pPr>
        <w:spacing w:before="240" w:after="0" w:line="288" w:lineRule="auto"/>
        <w:ind w:left="2160" w:right="446" w:hanging="1714"/>
        <w:rPr>
          <w:szCs w:val="24"/>
        </w:rPr>
      </w:pPr>
      <w:r>
        <w:rPr>
          <w:b/>
          <w:szCs w:val="24"/>
        </w:rPr>
        <w:t>Objective 1:</w:t>
      </w:r>
      <w:r>
        <w:rPr>
          <w:b/>
          <w:szCs w:val="24"/>
        </w:rPr>
        <w:tab/>
      </w:r>
      <w:r>
        <w:rPr>
          <w:szCs w:val="24"/>
        </w:rPr>
        <w:t>Initiate work with Blind Foundation, to inform a collaborative approach to transition.</w:t>
      </w:r>
    </w:p>
    <w:p w:rsidR="00724395" w:rsidRDefault="00724395" w:rsidP="00835413">
      <w:pPr>
        <w:spacing w:after="0" w:line="288" w:lineRule="auto"/>
        <w:ind w:left="2160" w:right="446" w:hanging="1714"/>
        <w:rPr>
          <w:szCs w:val="24"/>
        </w:rPr>
      </w:pPr>
      <w:r>
        <w:rPr>
          <w:b/>
          <w:szCs w:val="24"/>
        </w:rPr>
        <w:t>Objective 2:</w:t>
      </w:r>
      <w:r>
        <w:rPr>
          <w:szCs w:val="24"/>
        </w:rPr>
        <w:tab/>
        <w:t>Work with fundholders to develop and trial an approach to</w:t>
      </w:r>
      <w:r w:rsidR="004E6142">
        <w:rPr>
          <w:szCs w:val="24"/>
        </w:rPr>
        <w:t xml:space="preserve"> </w:t>
      </w:r>
      <w:r>
        <w:rPr>
          <w:szCs w:val="24"/>
        </w:rPr>
        <w:t>enhance outcomes of ākonga who have learning needs which are complex in nature.</w:t>
      </w:r>
    </w:p>
    <w:p w:rsidR="00724395" w:rsidRDefault="00724395" w:rsidP="00835413">
      <w:pPr>
        <w:spacing w:after="0" w:line="288" w:lineRule="auto"/>
        <w:ind w:left="2160" w:right="446" w:hanging="1714"/>
        <w:rPr>
          <w:szCs w:val="24"/>
        </w:rPr>
      </w:pPr>
      <w:r>
        <w:rPr>
          <w:b/>
          <w:szCs w:val="24"/>
        </w:rPr>
        <w:t>Objective 3:</w:t>
      </w:r>
      <w:r>
        <w:rPr>
          <w:szCs w:val="24"/>
        </w:rPr>
        <w:tab/>
        <w:t>Organise and facilitate a Sector workshop to inform practice in modern learning environments.</w:t>
      </w:r>
    </w:p>
    <w:p w:rsidR="00724395" w:rsidRDefault="00724395" w:rsidP="00835413">
      <w:pPr>
        <w:spacing w:after="0" w:line="288" w:lineRule="auto"/>
        <w:ind w:left="2160" w:right="446" w:hanging="1714"/>
        <w:rPr>
          <w:szCs w:val="24"/>
        </w:rPr>
      </w:pPr>
      <w:r>
        <w:rPr>
          <w:b/>
          <w:szCs w:val="24"/>
        </w:rPr>
        <w:t>Objective 4:</w:t>
      </w:r>
      <w:r>
        <w:rPr>
          <w:szCs w:val="24"/>
        </w:rPr>
        <w:tab/>
        <w:t>Collaborate with international and national partners to inform effective practice for assessment and intervention with ākonga who have CVI.</w:t>
      </w:r>
    </w:p>
    <w:p w:rsidR="00784898" w:rsidRDefault="00784898" w:rsidP="00835413">
      <w:pPr>
        <w:spacing w:after="0" w:line="288" w:lineRule="auto"/>
        <w:ind w:left="2160" w:right="446" w:hanging="1714"/>
        <w:rPr>
          <w:szCs w:val="24"/>
        </w:rPr>
      </w:pPr>
      <w:r>
        <w:rPr>
          <w:b/>
          <w:szCs w:val="24"/>
        </w:rPr>
        <w:t>Objective 5:</w:t>
      </w:r>
      <w:r w:rsidR="004E6142">
        <w:rPr>
          <w:szCs w:val="24"/>
        </w:rPr>
        <w:tab/>
        <w:t>Further develop</w:t>
      </w:r>
      <w:r>
        <w:rPr>
          <w:szCs w:val="24"/>
        </w:rPr>
        <w:t xml:space="preserve"> induction resources for staff.</w:t>
      </w:r>
    </w:p>
    <w:p w:rsidR="00784898" w:rsidRDefault="00784898" w:rsidP="00835413">
      <w:pPr>
        <w:spacing w:after="0" w:line="288" w:lineRule="auto"/>
        <w:ind w:left="2160" w:right="446" w:hanging="1714"/>
        <w:rPr>
          <w:szCs w:val="24"/>
        </w:rPr>
      </w:pPr>
      <w:r>
        <w:rPr>
          <w:b/>
          <w:szCs w:val="24"/>
        </w:rPr>
        <w:t>Objective 6:</w:t>
      </w:r>
      <w:r>
        <w:rPr>
          <w:szCs w:val="24"/>
        </w:rPr>
        <w:tab/>
        <w:t>Develop a PLD framework to support policy</w:t>
      </w:r>
      <w:r w:rsidR="00A12D4A">
        <w:rPr>
          <w:szCs w:val="24"/>
        </w:rPr>
        <w:t>.</w:t>
      </w:r>
    </w:p>
    <w:p w:rsidR="00784898" w:rsidRDefault="00784898" w:rsidP="00835413">
      <w:pPr>
        <w:spacing w:after="0" w:line="288" w:lineRule="auto"/>
        <w:ind w:left="2160" w:right="446" w:hanging="1714"/>
        <w:rPr>
          <w:szCs w:val="24"/>
        </w:rPr>
      </w:pPr>
      <w:r>
        <w:rPr>
          <w:b/>
          <w:szCs w:val="24"/>
        </w:rPr>
        <w:t>Objective 7:</w:t>
      </w:r>
      <w:r>
        <w:rPr>
          <w:szCs w:val="24"/>
        </w:rPr>
        <w:tab/>
        <w:t>Develop recommendations for VI Post Grad course.</w:t>
      </w:r>
    </w:p>
    <w:p w:rsidR="00784898" w:rsidRDefault="00784898" w:rsidP="00835413">
      <w:pPr>
        <w:spacing w:after="0" w:line="288" w:lineRule="auto"/>
        <w:ind w:left="2160" w:right="446" w:hanging="1714"/>
        <w:rPr>
          <w:szCs w:val="24"/>
        </w:rPr>
      </w:pPr>
      <w:r>
        <w:rPr>
          <w:b/>
          <w:szCs w:val="24"/>
        </w:rPr>
        <w:t>Objective 8:</w:t>
      </w:r>
      <w:r>
        <w:rPr>
          <w:szCs w:val="24"/>
        </w:rPr>
        <w:tab/>
        <w:t>Establish a resource cataloguing system</w:t>
      </w:r>
      <w:r w:rsidR="00A12D4A">
        <w:rPr>
          <w:szCs w:val="24"/>
        </w:rPr>
        <w:t>.</w:t>
      </w:r>
    </w:p>
    <w:p w:rsidR="00784898" w:rsidRDefault="00835413" w:rsidP="00835413">
      <w:pPr>
        <w:spacing w:after="0" w:line="288" w:lineRule="auto"/>
        <w:ind w:left="2160" w:right="446" w:hanging="1714"/>
        <w:rPr>
          <w:szCs w:val="24"/>
        </w:rPr>
      </w:pPr>
      <w:r>
        <w:rPr>
          <w:b/>
          <w:szCs w:val="24"/>
        </w:rPr>
        <w:t>Objective 9:</w:t>
      </w:r>
      <w:r w:rsidR="00784898">
        <w:rPr>
          <w:szCs w:val="24"/>
        </w:rPr>
        <w:tab/>
        <w:t>Initiate a national AFM system of support</w:t>
      </w:r>
      <w:r w:rsidR="00A12D4A">
        <w:rPr>
          <w:szCs w:val="24"/>
        </w:rPr>
        <w:t>.</w:t>
      </w:r>
    </w:p>
    <w:p w:rsidR="00784898" w:rsidRDefault="00835413" w:rsidP="00835413">
      <w:pPr>
        <w:spacing w:after="0" w:line="288" w:lineRule="auto"/>
        <w:ind w:left="2160" w:right="446" w:hanging="1714"/>
        <w:rPr>
          <w:szCs w:val="24"/>
        </w:rPr>
      </w:pPr>
      <w:r>
        <w:rPr>
          <w:b/>
          <w:szCs w:val="24"/>
        </w:rPr>
        <w:t>Objective 10:</w:t>
      </w:r>
      <w:r w:rsidR="00784898">
        <w:rPr>
          <w:szCs w:val="24"/>
        </w:rPr>
        <w:tab/>
        <w:t>Develop a database of ākonga who are deafblind.</w:t>
      </w:r>
    </w:p>
    <w:p w:rsidR="00784898" w:rsidRDefault="00784898" w:rsidP="00835413">
      <w:pPr>
        <w:spacing w:after="0" w:line="288" w:lineRule="auto"/>
        <w:ind w:left="2160" w:right="446" w:hanging="1714"/>
        <w:rPr>
          <w:szCs w:val="24"/>
        </w:rPr>
      </w:pPr>
      <w:r>
        <w:rPr>
          <w:b/>
          <w:szCs w:val="24"/>
        </w:rPr>
        <w:t>Objective 11.</w:t>
      </w:r>
      <w:r>
        <w:rPr>
          <w:szCs w:val="24"/>
        </w:rPr>
        <w:tab/>
        <w:t>Implement property agreements with the Ministry of Education.</w:t>
      </w:r>
    </w:p>
    <w:p w:rsidR="00784898" w:rsidRDefault="00784898" w:rsidP="00835413">
      <w:pPr>
        <w:spacing w:after="0" w:line="288" w:lineRule="auto"/>
        <w:ind w:left="2160" w:right="446" w:hanging="1714"/>
        <w:rPr>
          <w:szCs w:val="24"/>
        </w:rPr>
      </w:pPr>
      <w:r>
        <w:rPr>
          <w:b/>
          <w:szCs w:val="24"/>
        </w:rPr>
        <w:t>Objective 12:</w:t>
      </w:r>
      <w:r>
        <w:rPr>
          <w:szCs w:val="24"/>
        </w:rPr>
        <w:tab/>
        <w:t>Progress the Sensory Schools Capital Works programme.</w:t>
      </w:r>
    </w:p>
    <w:p w:rsidR="00784898" w:rsidRDefault="00784898" w:rsidP="00835413">
      <w:pPr>
        <w:spacing w:after="0" w:line="288" w:lineRule="auto"/>
        <w:ind w:left="2160" w:right="446" w:hanging="1714"/>
        <w:rPr>
          <w:szCs w:val="24"/>
        </w:rPr>
      </w:pPr>
      <w:r>
        <w:rPr>
          <w:b/>
          <w:szCs w:val="24"/>
        </w:rPr>
        <w:t>Objective 13:</w:t>
      </w:r>
      <w:r>
        <w:rPr>
          <w:szCs w:val="24"/>
        </w:rPr>
        <w:tab/>
        <w:t>Refurbish the BLENNZ Homai Campus Swimming Pool.</w:t>
      </w:r>
    </w:p>
    <w:p w:rsidR="00784898" w:rsidRDefault="00784898" w:rsidP="00724395">
      <w:pPr>
        <w:spacing w:after="0" w:line="240" w:lineRule="auto"/>
        <w:ind w:left="2160" w:right="440" w:hanging="1710"/>
        <w:rPr>
          <w:szCs w:val="24"/>
        </w:rPr>
        <w:sectPr w:rsidR="00784898" w:rsidSect="00F35700">
          <w:pgSz w:w="16838" w:h="11906" w:orient="landscape"/>
          <w:pgMar w:top="864" w:right="144" w:bottom="864" w:left="144" w:header="706" w:footer="706" w:gutter="0"/>
          <w:cols w:space="708"/>
          <w:docGrid w:linePitch="360"/>
        </w:sectPr>
      </w:pPr>
    </w:p>
    <w:p w:rsidR="00784898" w:rsidRDefault="00784898" w:rsidP="00724395">
      <w:pPr>
        <w:spacing w:after="0" w:line="240" w:lineRule="auto"/>
        <w:ind w:left="2160" w:right="440" w:hanging="1710"/>
        <w:rPr>
          <w:szCs w:val="24"/>
        </w:rPr>
      </w:pPr>
    </w:p>
    <w:p w:rsidR="00784898" w:rsidRDefault="00784898" w:rsidP="00AC32D9">
      <w:pPr>
        <w:pStyle w:val="Heading1"/>
      </w:pPr>
      <w:r>
        <w:t xml:space="preserve">Contact </w:t>
      </w:r>
      <w:r w:rsidR="009165E6">
        <w:t>Information:</w:t>
      </w:r>
    </w:p>
    <w:p w:rsidR="00784898" w:rsidRDefault="00784898" w:rsidP="009165E6">
      <w:pPr>
        <w:spacing w:after="0" w:line="240" w:lineRule="auto"/>
        <w:ind w:left="3690" w:right="440" w:hanging="2160"/>
        <w:rPr>
          <w:szCs w:val="24"/>
        </w:rPr>
      </w:pPr>
    </w:p>
    <w:p w:rsidR="00784898" w:rsidRPr="00A17E47" w:rsidRDefault="00784898" w:rsidP="008E36AD">
      <w:pPr>
        <w:spacing w:after="0" w:line="240" w:lineRule="auto"/>
        <w:ind w:left="3690" w:right="440" w:hanging="3060"/>
        <w:rPr>
          <w:b/>
          <w:szCs w:val="24"/>
        </w:rPr>
      </w:pPr>
      <w:r w:rsidRPr="00A17E47">
        <w:rPr>
          <w:b/>
          <w:szCs w:val="24"/>
        </w:rPr>
        <w:t>BLENNZ Board Chairperson:</w:t>
      </w:r>
    </w:p>
    <w:p w:rsidR="00784898" w:rsidRDefault="00784898" w:rsidP="008E36AD">
      <w:pPr>
        <w:spacing w:after="0" w:line="240" w:lineRule="auto"/>
        <w:ind w:left="3690" w:right="440" w:hanging="3060"/>
        <w:rPr>
          <w:szCs w:val="24"/>
        </w:rPr>
      </w:pPr>
    </w:p>
    <w:p w:rsidR="00784898" w:rsidRDefault="00784898" w:rsidP="008E36AD">
      <w:pPr>
        <w:tabs>
          <w:tab w:val="left" w:pos="1530"/>
          <w:tab w:val="left" w:pos="2160"/>
        </w:tabs>
        <w:spacing w:after="0" w:line="240" w:lineRule="auto"/>
        <w:ind w:left="3690" w:right="440" w:hanging="3060"/>
        <w:rPr>
          <w:szCs w:val="24"/>
        </w:rPr>
      </w:pPr>
      <w:r>
        <w:rPr>
          <w:szCs w:val="24"/>
        </w:rPr>
        <w:t xml:space="preserve">Mobile: </w:t>
      </w:r>
      <w:r w:rsidR="009165E6">
        <w:rPr>
          <w:szCs w:val="24"/>
        </w:rPr>
        <w:t xml:space="preserve"> </w:t>
      </w:r>
      <w:r>
        <w:rPr>
          <w:szCs w:val="24"/>
        </w:rPr>
        <w:t>021 566 295</w:t>
      </w:r>
    </w:p>
    <w:p w:rsidR="00784898" w:rsidRDefault="00784898" w:rsidP="008E36AD">
      <w:pPr>
        <w:tabs>
          <w:tab w:val="left" w:pos="1530"/>
          <w:tab w:val="left" w:pos="2430"/>
        </w:tabs>
        <w:spacing w:after="0" w:line="240" w:lineRule="auto"/>
        <w:ind w:left="3690" w:right="440" w:hanging="3060"/>
        <w:rPr>
          <w:szCs w:val="24"/>
        </w:rPr>
      </w:pPr>
      <w:r>
        <w:rPr>
          <w:szCs w:val="24"/>
        </w:rPr>
        <w:t xml:space="preserve">Email: </w:t>
      </w:r>
      <w:r w:rsidR="009165E6">
        <w:rPr>
          <w:szCs w:val="24"/>
        </w:rPr>
        <w:t xml:space="preserve"> </w:t>
      </w:r>
      <w:r w:rsidR="009165E6">
        <w:rPr>
          <w:szCs w:val="24"/>
        </w:rPr>
        <w:tab/>
      </w:r>
      <w:hyperlink r:id="rId18" w:history="1">
        <w:r w:rsidR="009165E6" w:rsidRPr="005942B4">
          <w:rPr>
            <w:rStyle w:val="Hyperlink"/>
            <w:szCs w:val="24"/>
          </w:rPr>
          <w:t>BOT.Chair@Blennz.school.nz</w:t>
        </w:r>
      </w:hyperlink>
    </w:p>
    <w:p w:rsidR="00784898" w:rsidRDefault="00784898" w:rsidP="008E36AD">
      <w:pPr>
        <w:tabs>
          <w:tab w:val="left" w:pos="1530"/>
        </w:tabs>
        <w:spacing w:after="0" w:line="240" w:lineRule="auto"/>
        <w:ind w:left="3690" w:right="440" w:hanging="3060"/>
        <w:rPr>
          <w:szCs w:val="24"/>
        </w:rPr>
      </w:pPr>
    </w:p>
    <w:p w:rsidR="00784898" w:rsidRDefault="00784898" w:rsidP="008E36AD">
      <w:pPr>
        <w:tabs>
          <w:tab w:val="left" w:pos="1530"/>
        </w:tabs>
        <w:spacing w:after="0" w:line="288" w:lineRule="auto"/>
        <w:ind w:left="3686" w:right="446" w:hanging="3060"/>
        <w:rPr>
          <w:b/>
          <w:szCs w:val="24"/>
        </w:rPr>
      </w:pPr>
      <w:r>
        <w:rPr>
          <w:b/>
          <w:szCs w:val="24"/>
        </w:rPr>
        <w:t>BLENNZ:</w:t>
      </w:r>
    </w:p>
    <w:p w:rsidR="00784898" w:rsidRDefault="00784898" w:rsidP="008E36AD">
      <w:pPr>
        <w:tabs>
          <w:tab w:val="left" w:pos="1530"/>
          <w:tab w:val="left" w:pos="2430"/>
        </w:tabs>
        <w:spacing w:after="0" w:line="288" w:lineRule="auto"/>
        <w:ind w:left="3686" w:right="446" w:hanging="3060"/>
        <w:rPr>
          <w:szCs w:val="24"/>
        </w:rPr>
      </w:pPr>
      <w:r>
        <w:rPr>
          <w:szCs w:val="24"/>
        </w:rPr>
        <w:t>Email:</w:t>
      </w:r>
      <w:r>
        <w:rPr>
          <w:szCs w:val="24"/>
        </w:rPr>
        <w:tab/>
      </w:r>
      <w:hyperlink r:id="rId19" w:history="1">
        <w:r w:rsidR="009165E6" w:rsidRPr="005942B4">
          <w:rPr>
            <w:rStyle w:val="Hyperlink"/>
            <w:szCs w:val="24"/>
          </w:rPr>
          <w:t>Admin@blennz.school.nz</w:t>
        </w:r>
      </w:hyperlink>
    </w:p>
    <w:p w:rsidR="00784898" w:rsidRDefault="00784898" w:rsidP="008E36AD">
      <w:pPr>
        <w:tabs>
          <w:tab w:val="left" w:pos="1530"/>
        </w:tabs>
        <w:spacing w:after="0" w:line="288" w:lineRule="auto"/>
        <w:ind w:left="3686" w:right="446" w:hanging="3060"/>
        <w:rPr>
          <w:szCs w:val="24"/>
        </w:rPr>
      </w:pPr>
      <w:r>
        <w:rPr>
          <w:szCs w:val="24"/>
        </w:rPr>
        <w:t>Facebook: https:www.facebook.com/blindandlowvisioneducationnetworknz/</w:t>
      </w:r>
    </w:p>
    <w:p w:rsidR="00784898" w:rsidRDefault="00784898" w:rsidP="008E36AD">
      <w:pPr>
        <w:tabs>
          <w:tab w:val="left" w:pos="1530"/>
        </w:tabs>
        <w:spacing w:after="0" w:line="288" w:lineRule="auto"/>
        <w:ind w:left="3686" w:right="446" w:hanging="3060"/>
        <w:rPr>
          <w:szCs w:val="24"/>
        </w:rPr>
      </w:pPr>
      <w:r>
        <w:rPr>
          <w:szCs w:val="24"/>
        </w:rPr>
        <w:t>Twitter: @BLENNZOnline</w:t>
      </w:r>
    </w:p>
    <w:p w:rsidR="008E36AD" w:rsidRDefault="00784898" w:rsidP="00352FA7">
      <w:pPr>
        <w:tabs>
          <w:tab w:val="left" w:pos="1530"/>
        </w:tabs>
        <w:spacing w:after="0" w:line="288" w:lineRule="auto"/>
        <w:ind w:left="3686" w:right="446" w:hanging="3060"/>
        <w:rPr>
          <w:rStyle w:val="Hyperlink"/>
          <w:szCs w:val="24"/>
        </w:rPr>
      </w:pPr>
      <w:r>
        <w:rPr>
          <w:szCs w:val="24"/>
        </w:rPr>
        <w:t xml:space="preserve">BLENNZ ICT: </w:t>
      </w:r>
      <w:hyperlink r:id="rId20" w:history="1">
        <w:r w:rsidRPr="00565F30">
          <w:rPr>
            <w:rStyle w:val="Hyperlink"/>
            <w:szCs w:val="24"/>
          </w:rPr>
          <w:t>info@blennz.school.nz</w:t>
        </w:r>
      </w:hyperlink>
    </w:p>
    <w:p w:rsidR="009165E6" w:rsidRDefault="009165E6">
      <w:pPr>
        <w:rPr>
          <w:rStyle w:val="Hyperlink"/>
          <w:szCs w:val="24"/>
        </w:rPr>
      </w:pPr>
      <w:r>
        <w:rPr>
          <w:rStyle w:val="Hyperlink"/>
          <w:szCs w:val="24"/>
        </w:rPr>
        <w:br w:type="page"/>
      </w:r>
    </w:p>
    <w:p w:rsidR="00784898" w:rsidRPr="00ED399A" w:rsidRDefault="00784898" w:rsidP="009165E6">
      <w:pPr>
        <w:pStyle w:val="Heading2"/>
      </w:pPr>
      <w:r w:rsidRPr="00ED399A">
        <w:lastRenderedPageBreak/>
        <w:t>BLENNZ education services are provided from 14 locations including:</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BLENNZ Homai Campus, Manurewa, Auckland</w:t>
      </w:r>
    </w:p>
    <w:p w:rsidR="00784898" w:rsidRPr="00ED399A" w:rsidRDefault="00784898" w:rsidP="009165E6">
      <w:pPr>
        <w:numPr>
          <w:ilvl w:val="1"/>
          <w:numId w:val="19"/>
        </w:numPr>
        <w:spacing w:after="0" w:line="288" w:lineRule="auto"/>
        <w:ind w:right="710" w:hanging="450"/>
        <w:rPr>
          <w:rFonts w:cs="Arial"/>
        </w:rPr>
      </w:pPr>
      <w:r w:rsidRPr="00ED399A">
        <w:rPr>
          <w:rFonts w:cs="Arial"/>
        </w:rPr>
        <w:t>Homai Campus School and satellite class at James Cook High</w:t>
      </w:r>
    </w:p>
    <w:p w:rsidR="00784898" w:rsidRPr="00ED399A" w:rsidRDefault="00784898" w:rsidP="009165E6">
      <w:pPr>
        <w:numPr>
          <w:ilvl w:val="1"/>
          <w:numId w:val="19"/>
        </w:numPr>
        <w:spacing w:after="0" w:line="288" w:lineRule="auto"/>
        <w:ind w:right="710" w:hanging="450"/>
        <w:rPr>
          <w:rFonts w:cs="Arial"/>
        </w:rPr>
      </w:pPr>
      <w:r w:rsidRPr="00ED399A">
        <w:rPr>
          <w:rFonts w:cs="Arial"/>
        </w:rPr>
        <w:t xml:space="preserve">Residential Service </w:t>
      </w:r>
    </w:p>
    <w:p w:rsidR="00784898" w:rsidRPr="00ED399A" w:rsidRDefault="00784898" w:rsidP="009165E6">
      <w:pPr>
        <w:numPr>
          <w:ilvl w:val="1"/>
          <w:numId w:val="19"/>
        </w:numPr>
        <w:spacing w:after="0" w:line="288" w:lineRule="auto"/>
        <w:ind w:right="710" w:hanging="450"/>
        <w:rPr>
          <w:rFonts w:cs="Arial"/>
        </w:rPr>
      </w:pPr>
      <w:r w:rsidRPr="00ED399A">
        <w:rPr>
          <w:rFonts w:cs="Arial"/>
        </w:rPr>
        <w:t>Homai Early Childhood Centre</w:t>
      </w:r>
    </w:p>
    <w:p w:rsidR="00784898" w:rsidRPr="00ED399A" w:rsidRDefault="00784898" w:rsidP="009165E6">
      <w:pPr>
        <w:numPr>
          <w:ilvl w:val="1"/>
          <w:numId w:val="19"/>
        </w:numPr>
        <w:spacing w:after="0" w:line="288" w:lineRule="auto"/>
        <w:ind w:right="710" w:hanging="450"/>
        <w:rPr>
          <w:rFonts w:cs="Arial"/>
        </w:rPr>
      </w:pPr>
      <w:r w:rsidRPr="00ED399A">
        <w:rPr>
          <w:rFonts w:cs="Arial"/>
        </w:rPr>
        <w:t>Auckland South Visual Resource Centre</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Northland Visual Resource Centre, Manaia View School, Whangarei</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Auckland North Visual Resource Centre, Marlborough Primary School, Glenfield</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Hamilton Visual Resource Centre, Hamilton North School, Hamilton</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Tauranga Visual Resource Centre, Bethlehem, Tauranga</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Gisborne Visual Resource Centre, Riverdale School, Gisborne</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Napier Visual Resource Centre, Henry Hill School, Napier</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 xml:space="preserve">Palmerston North Visual Resource Centre, Somerset </w:t>
      </w:r>
      <w:r w:rsidRPr="00ED399A">
        <w:rPr>
          <w:rFonts w:cs="Arial"/>
          <w:sz w:val="25"/>
        </w:rPr>
        <w:t>School</w:t>
      </w:r>
      <w:r w:rsidRPr="00ED399A">
        <w:rPr>
          <w:rFonts w:cs="Arial"/>
        </w:rPr>
        <w:t>, (moving to Awapuni School in 201</w:t>
      </w:r>
      <w:r w:rsidR="00D20A1E">
        <w:rPr>
          <w:rFonts w:cs="Arial"/>
        </w:rPr>
        <w:t>8</w:t>
      </w:r>
      <w:r w:rsidRPr="00ED399A">
        <w:rPr>
          <w:rFonts w:cs="Arial"/>
        </w:rPr>
        <w:t>) Palmerston North with outpost at Keith Street School, Wanganui</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Taranaki Visual Resource Centre, New Plymouth Girls High School, New Plymouth</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Wellington Visual Resource Centre, Kelburn Normal School, Wellington</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Nelson Visual Resource Centre, Nelson Intermediate School, Nelson</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Christchurch Visual Resource Centre, Burnside, Christchurch with outposts at Oceanview Heights School, Timaru and Cobden School, Greymouth West Coast</w:t>
      </w:r>
    </w:p>
    <w:p w:rsidR="00784898" w:rsidRPr="00ED399A" w:rsidRDefault="00784898" w:rsidP="009165E6">
      <w:pPr>
        <w:numPr>
          <w:ilvl w:val="0"/>
          <w:numId w:val="19"/>
        </w:numPr>
        <w:spacing w:after="0" w:line="288" w:lineRule="auto"/>
        <w:ind w:left="990" w:right="710" w:hanging="450"/>
        <w:rPr>
          <w:rFonts w:cs="Arial"/>
        </w:rPr>
      </w:pPr>
      <w:r w:rsidRPr="00ED399A">
        <w:rPr>
          <w:rFonts w:cs="Arial"/>
        </w:rPr>
        <w:t>Otago Visual Resource Centre, Dunedin North Intermediate School, Dunedin</w:t>
      </w:r>
    </w:p>
    <w:p w:rsidR="00784898" w:rsidRDefault="00784898" w:rsidP="009165E6">
      <w:pPr>
        <w:numPr>
          <w:ilvl w:val="0"/>
          <w:numId w:val="19"/>
        </w:numPr>
        <w:spacing w:after="0" w:line="288" w:lineRule="auto"/>
        <w:ind w:left="990" w:right="710" w:hanging="450"/>
        <w:rPr>
          <w:rFonts w:cs="Arial"/>
        </w:rPr>
      </w:pPr>
      <w:r w:rsidRPr="00ED399A">
        <w:rPr>
          <w:rFonts w:cs="Arial"/>
        </w:rPr>
        <w:t>Southland Visual Resource Centre, Ascot Community School, Invercargill.</w:t>
      </w:r>
    </w:p>
    <w:p w:rsidR="00784898" w:rsidRDefault="00784898" w:rsidP="00AC32D9">
      <w:pPr>
        <w:pStyle w:val="Heading1"/>
      </w:pPr>
    </w:p>
    <w:p w:rsidR="00784898" w:rsidRDefault="00784898" w:rsidP="008E36AD">
      <w:pPr>
        <w:pStyle w:val="Heading2"/>
      </w:pPr>
      <w:r>
        <w:t>BLENNZ Web:</w:t>
      </w:r>
    </w:p>
    <w:p w:rsidR="008E36AD" w:rsidRDefault="000C7415" w:rsidP="008E36AD">
      <w:pPr>
        <w:spacing w:after="0" w:line="288" w:lineRule="auto"/>
        <w:ind w:left="450"/>
        <w:rPr>
          <w:rStyle w:val="Hyperlink"/>
          <w:rFonts w:cs="Arial"/>
          <w:b/>
        </w:rPr>
      </w:pPr>
      <w:hyperlink r:id="rId21" w:history="1">
        <w:r w:rsidR="001145FC">
          <w:rPr>
            <w:rStyle w:val="Hyperlink"/>
            <w:rFonts w:cs="Arial"/>
            <w:b/>
          </w:rPr>
          <w:t>Blind and Low Vision Education Network NZ</w:t>
        </w:r>
      </w:hyperlink>
    </w:p>
    <w:p w:rsidR="008E36AD" w:rsidRDefault="008E36AD">
      <w:pPr>
        <w:rPr>
          <w:rStyle w:val="Hyperlink"/>
          <w:rFonts w:cs="Arial"/>
          <w:b/>
        </w:rPr>
      </w:pPr>
      <w:r>
        <w:rPr>
          <w:rStyle w:val="Hyperlink"/>
          <w:rFonts w:cs="Arial"/>
          <w:b/>
        </w:rPr>
        <w:br w:type="page"/>
      </w:r>
    </w:p>
    <w:p w:rsidR="00784898" w:rsidRDefault="008E36AD" w:rsidP="00AC32D9">
      <w:pPr>
        <w:pStyle w:val="Heading1"/>
      </w:pPr>
      <w:r>
        <w:lastRenderedPageBreak/>
        <w:t>Vision</w:t>
      </w:r>
    </w:p>
    <w:p w:rsidR="008E36AD" w:rsidRDefault="008E36AD" w:rsidP="008E36AD">
      <w:pPr>
        <w:rPr>
          <w:lang w:val="en-NZ"/>
        </w:rPr>
      </w:pPr>
    </w:p>
    <w:p w:rsidR="008E36AD" w:rsidRDefault="008E36AD" w:rsidP="008E36AD">
      <w:pPr>
        <w:ind w:left="630"/>
        <w:rPr>
          <w:lang w:val="en-NZ"/>
        </w:rPr>
      </w:pPr>
      <w:r>
        <w:rPr>
          <w:lang w:val="en-NZ"/>
        </w:rPr>
        <w:t>Every BLENNZ ākonga is well prepared to achieve in life</w:t>
      </w:r>
    </w:p>
    <w:p w:rsidR="008E36AD" w:rsidRDefault="008E36AD" w:rsidP="008E36AD">
      <w:pPr>
        <w:ind w:left="720"/>
        <w:rPr>
          <w:lang w:val="en-NZ"/>
        </w:rPr>
      </w:pPr>
    </w:p>
    <w:p w:rsidR="008E36AD" w:rsidRDefault="008E36AD" w:rsidP="00AC32D9">
      <w:pPr>
        <w:pStyle w:val="Heading1"/>
      </w:pPr>
      <w:r>
        <w:t>Mission</w:t>
      </w:r>
    </w:p>
    <w:p w:rsidR="008E36AD" w:rsidRDefault="008E36AD" w:rsidP="008E36AD">
      <w:pPr>
        <w:rPr>
          <w:lang w:val="en-NZ"/>
        </w:rPr>
      </w:pPr>
    </w:p>
    <w:p w:rsidR="00EF13F8" w:rsidRDefault="008E36AD" w:rsidP="00901012">
      <w:pPr>
        <w:ind w:left="630"/>
        <w:rPr>
          <w:lang w:val="en-NZ"/>
        </w:rPr>
      </w:pPr>
      <w:r>
        <w:rPr>
          <w:lang w:val="en-NZ"/>
        </w:rPr>
        <w:t>To enable ākonga who are blind, deafblind or have low vision to reach their full potential, BLENNZ provides quality education and specialist teaching services in partnership with whānau, educators and the wider community.</w:t>
      </w:r>
    </w:p>
    <w:p w:rsidR="00EF13F8" w:rsidRPr="008E36AD" w:rsidRDefault="00EF13F8" w:rsidP="008E36AD">
      <w:pPr>
        <w:ind w:left="630"/>
        <w:rPr>
          <w:lang w:val="en-NZ"/>
        </w:rPr>
      </w:pPr>
    </w:p>
    <w:p w:rsidR="008E36AD" w:rsidRPr="008E36AD" w:rsidRDefault="008E36AD" w:rsidP="008E36AD">
      <w:pPr>
        <w:rPr>
          <w:lang w:val="en-NZ"/>
        </w:rPr>
      </w:pPr>
    </w:p>
    <w:sectPr w:rsidR="008E36AD" w:rsidRPr="008E36AD" w:rsidSect="009165E6">
      <w:pgSz w:w="16838" w:h="11906" w:orient="landscape"/>
      <w:pgMar w:top="1138" w:right="144" w:bottom="1138" w:left="14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kit-standard">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7C6"/>
    <w:multiLevelType w:val="hybridMultilevel"/>
    <w:tmpl w:val="D9AC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83339"/>
    <w:multiLevelType w:val="hybridMultilevel"/>
    <w:tmpl w:val="9424B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F42AE"/>
    <w:multiLevelType w:val="hybridMultilevel"/>
    <w:tmpl w:val="92EE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47F1E"/>
    <w:multiLevelType w:val="hybridMultilevel"/>
    <w:tmpl w:val="6672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751789"/>
    <w:multiLevelType w:val="hybridMultilevel"/>
    <w:tmpl w:val="A094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307180"/>
    <w:multiLevelType w:val="hybridMultilevel"/>
    <w:tmpl w:val="CEF64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90EDD"/>
    <w:multiLevelType w:val="hybridMultilevel"/>
    <w:tmpl w:val="D2F0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30622"/>
    <w:multiLevelType w:val="hybridMultilevel"/>
    <w:tmpl w:val="01F42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533A12"/>
    <w:multiLevelType w:val="hybridMultilevel"/>
    <w:tmpl w:val="1FD4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916949"/>
    <w:multiLevelType w:val="hybridMultilevel"/>
    <w:tmpl w:val="A7EE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A2C2C"/>
    <w:multiLevelType w:val="hybridMultilevel"/>
    <w:tmpl w:val="9AA0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887575"/>
    <w:multiLevelType w:val="hybridMultilevel"/>
    <w:tmpl w:val="21784A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6053512"/>
    <w:multiLevelType w:val="hybridMultilevel"/>
    <w:tmpl w:val="5F221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7A371F"/>
    <w:multiLevelType w:val="hybridMultilevel"/>
    <w:tmpl w:val="CD5255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9B05F7"/>
    <w:multiLevelType w:val="hybridMultilevel"/>
    <w:tmpl w:val="249CEAC8"/>
    <w:lvl w:ilvl="0" w:tplc="33F6EE52">
      <w:start w:val="2015"/>
      <w:numFmt w:val="bullet"/>
      <w:lvlText w:val="-"/>
      <w:lvlJc w:val="left"/>
      <w:pPr>
        <w:ind w:left="862" w:hanging="360"/>
      </w:pPr>
      <w:rPr>
        <w:rFonts w:ascii="-webkit-standard" w:eastAsia="Times New Roman" w:hAnsi="-webkit-standard"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FD3EAA"/>
    <w:multiLevelType w:val="hybridMultilevel"/>
    <w:tmpl w:val="6F8AA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B50F2D"/>
    <w:multiLevelType w:val="hybridMultilevel"/>
    <w:tmpl w:val="B9BAB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D90B4C"/>
    <w:multiLevelType w:val="hybridMultilevel"/>
    <w:tmpl w:val="9A2E55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8"/>
  </w:num>
  <w:num w:numId="4">
    <w:abstractNumId w:val="10"/>
  </w:num>
  <w:num w:numId="5">
    <w:abstractNumId w:val="5"/>
  </w:num>
  <w:num w:numId="6">
    <w:abstractNumId w:val="1"/>
  </w:num>
  <w:num w:numId="7">
    <w:abstractNumId w:val="18"/>
  </w:num>
  <w:num w:numId="8">
    <w:abstractNumId w:val="17"/>
  </w:num>
  <w:num w:numId="9">
    <w:abstractNumId w:val="16"/>
  </w:num>
  <w:num w:numId="10">
    <w:abstractNumId w:val="15"/>
  </w:num>
  <w:num w:numId="11">
    <w:abstractNumId w:val="4"/>
  </w:num>
  <w:num w:numId="12">
    <w:abstractNumId w:val="2"/>
  </w:num>
  <w:num w:numId="13">
    <w:abstractNumId w:val="12"/>
  </w:num>
  <w:num w:numId="14">
    <w:abstractNumId w:val="7"/>
  </w:num>
  <w:num w:numId="15">
    <w:abstractNumId w:val="0"/>
  </w:num>
  <w:num w:numId="16">
    <w:abstractNumId w:val="9"/>
  </w:num>
  <w:num w:numId="17">
    <w:abstractNumId w:val="3"/>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A4"/>
    <w:rsid w:val="000268D2"/>
    <w:rsid w:val="00045A51"/>
    <w:rsid w:val="000709DD"/>
    <w:rsid w:val="00084BBC"/>
    <w:rsid w:val="000A1F89"/>
    <w:rsid w:val="000C7415"/>
    <w:rsid w:val="001145FC"/>
    <w:rsid w:val="00136F58"/>
    <w:rsid w:val="00175356"/>
    <w:rsid w:val="001777A8"/>
    <w:rsid w:val="001C1241"/>
    <w:rsid w:val="0020552F"/>
    <w:rsid w:val="00244E9B"/>
    <w:rsid w:val="00260C8F"/>
    <w:rsid w:val="00275F34"/>
    <w:rsid w:val="00276E63"/>
    <w:rsid w:val="0028045D"/>
    <w:rsid w:val="002920E0"/>
    <w:rsid w:val="002A199E"/>
    <w:rsid w:val="00311B7D"/>
    <w:rsid w:val="00352FA7"/>
    <w:rsid w:val="003611C9"/>
    <w:rsid w:val="00372A83"/>
    <w:rsid w:val="003F5509"/>
    <w:rsid w:val="00400DED"/>
    <w:rsid w:val="00450796"/>
    <w:rsid w:val="004841C0"/>
    <w:rsid w:val="004B451F"/>
    <w:rsid w:val="004C0AB4"/>
    <w:rsid w:val="004E6142"/>
    <w:rsid w:val="004F4900"/>
    <w:rsid w:val="0055034D"/>
    <w:rsid w:val="005963EC"/>
    <w:rsid w:val="005B3EA4"/>
    <w:rsid w:val="005C5F9B"/>
    <w:rsid w:val="005E1DB1"/>
    <w:rsid w:val="006C0DF0"/>
    <w:rsid w:val="00724395"/>
    <w:rsid w:val="00784898"/>
    <w:rsid w:val="007938B7"/>
    <w:rsid w:val="007B1BCC"/>
    <w:rsid w:val="008122C1"/>
    <w:rsid w:val="00835413"/>
    <w:rsid w:val="0088050A"/>
    <w:rsid w:val="008A4AC2"/>
    <w:rsid w:val="008C6817"/>
    <w:rsid w:val="008E36AD"/>
    <w:rsid w:val="00901012"/>
    <w:rsid w:val="009165E6"/>
    <w:rsid w:val="00952FAB"/>
    <w:rsid w:val="00953BF9"/>
    <w:rsid w:val="00976E4E"/>
    <w:rsid w:val="009A1265"/>
    <w:rsid w:val="009B751D"/>
    <w:rsid w:val="009F7EBC"/>
    <w:rsid w:val="00A06544"/>
    <w:rsid w:val="00A12D4A"/>
    <w:rsid w:val="00A17E47"/>
    <w:rsid w:val="00A42A44"/>
    <w:rsid w:val="00AA1F04"/>
    <w:rsid w:val="00AC32D9"/>
    <w:rsid w:val="00B1776A"/>
    <w:rsid w:val="00B56A54"/>
    <w:rsid w:val="00C43CAA"/>
    <w:rsid w:val="00C50A05"/>
    <w:rsid w:val="00CC4579"/>
    <w:rsid w:val="00D05EF6"/>
    <w:rsid w:val="00D20A1E"/>
    <w:rsid w:val="00D76E71"/>
    <w:rsid w:val="00DD49D9"/>
    <w:rsid w:val="00DE16C4"/>
    <w:rsid w:val="00E23970"/>
    <w:rsid w:val="00E76050"/>
    <w:rsid w:val="00EF13F8"/>
    <w:rsid w:val="00F26246"/>
    <w:rsid w:val="00F35700"/>
    <w:rsid w:val="00FC0AC2"/>
    <w:rsid w:val="00FE7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1AEE6-3F4C-43DC-B1EC-64DD5149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AC32D9"/>
    <w:pPr>
      <w:keepNext/>
      <w:keepLines/>
      <w:spacing w:before="240" w:after="0"/>
      <w:ind w:left="540"/>
      <w:outlineLvl w:val="0"/>
    </w:pPr>
    <w:rPr>
      <w:rFonts w:eastAsiaTheme="majorEastAsia" w:cstheme="majorBidi"/>
      <w:b/>
      <w:sz w:val="40"/>
      <w:szCs w:val="32"/>
      <w:lang w:val="en-NZ"/>
    </w:rPr>
  </w:style>
  <w:style w:type="paragraph" w:styleId="Heading2">
    <w:name w:val="heading 2"/>
    <w:basedOn w:val="Normal"/>
    <w:next w:val="Normal"/>
    <w:link w:val="Heading2Char"/>
    <w:autoRedefine/>
    <w:uiPriority w:val="9"/>
    <w:unhideWhenUsed/>
    <w:qFormat/>
    <w:rsid w:val="00835413"/>
    <w:pPr>
      <w:keepNext/>
      <w:keepLines/>
      <w:spacing w:before="40" w:after="0"/>
      <w:ind w:left="45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AC32D9"/>
    <w:rPr>
      <w:rFonts w:ascii="Arial" w:eastAsiaTheme="majorEastAsia" w:hAnsi="Arial" w:cstheme="majorBidi"/>
      <w:b/>
      <w:sz w:val="40"/>
      <w:szCs w:val="32"/>
      <w:lang w:val="en-NZ"/>
    </w:rPr>
  </w:style>
  <w:style w:type="character" w:customStyle="1" w:styleId="Heading2Char">
    <w:name w:val="Heading 2 Char"/>
    <w:basedOn w:val="DefaultParagraphFont"/>
    <w:link w:val="Heading2"/>
    <w:uiPriority w:val="9"/>
    <w:rsid w:val="0083541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ListParagraph">
    <w:name w:val="List Paragraph"/>
    <w:basedOn w:val="Normal"/>
    <w:uiPriority w:val="34"/>
    <w:qFormat/>
    <w:rsid w:val="00E23970"/>
    <w:pPr>
      <w:spacing w:line="256" w:lineRule="auto"/>
      <w:ind w:left="720"/>
      <w:contextualSpacing/>
    </w:pPr>
    <w:rPr>
      <w:rFonts w:eastAsia="Calibri" w:cs="Times New Roman"/>
    </w:rPr>
  </w:style>
  <w:style w:type="table" w:styleId="TableGrid">
    <w:name w:val="Table Grid"/>
    <w:basedOn w:val="TableNormal"/>
    <w:uiPriority w:val="59"/>
    <w:rsid w:val="00E23970"/>
    <w:pPr>
      <w:spacing w:after="0"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900"/>
    <w:rPr>
      <w:rFonts w:ascii="Tahoma" w:hAnsi="Tahoma" w:cs="Tahoma"/>
      <w:sz w:val="16"/>
      <w:szCs w:val="16"/>
    </w:rPr>
  </w:style>
  <w:style w:type="paragraph" w:styleId="Title">
    <w:name w:val="Title"/>
    <w:basedOn w:val="Normal"/>
    <w:link w:val="TitleChar"/>
    <w:uiPriority w:val="10"/>
    <w:qFormat/>
    <w:rsid w:val="001C1241"/>
    <w:pPr>
      <w:spacing w:after="0" w:line="288" w:lineRule="auto"/>
      <w:jc w:val="center"/>
    </w:pPr>
    <w:rPr>
      <w:rFonts w:eastAsia="Times New Roman" w:cs="Arial"/>
      <w:b/>
      <w:bCs/>
      <w:szCs w:val="24"/>
      <w:lang w:val="en-NZ"/>
    </w:rPr>
  </w:style>
  <w:style w:type="character" w:customStyle="1" w:styleId="TitleChar">
    <w:name w:val="Title Char"/>
    <w:basedOn w:val="DefaultParagraphFont"/>
    <w:link w:val="Title"/>
    <w:uiPriority w:val="10"/>
    <w:rsid w:val="001C1241"/>
    <w:rPr>
      <w:rFonts w:ascii="Arial" w:eastAsia="Times New Roman" w:hAnsi="Arial" w:cs="Arial"/>
      <w:b/>
      <w:bCs/>
      <w:sz w:val="24"/>
      <w:szCs w:val="24"/>
      <w:lang w:val="en-NZ"/>
    </w:rPr>
  </w:style>
  <w:style w:type="character" w:styleId="Hyperlink">
    <w:name w:val="Hyperlink"/>
    <w:basedOn w:val="DefaultParagraphFont"/>
    <w:uiPriority w:val="99"/>
    <w:unhideWhenUsed/>
    <w:rsid w:val="00784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BOT.Chair@Blennz.school.nz" TargetMode="External"/><Relationship Id="rId3" Type="http://schemas.openxmlformats.org/officeDocument/2006/relationships/customXml" Target="../customXml/item3.xml"/><Relationship Id="rId21" Type="http://schemas.openxmlformats.org/officeDocument/2006/relationships/hyperlink" Target="http://blennz.school.nz/"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hyperlink" Target="mailto:info@blennz.school.n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Admin@blennz.school.nz"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Cooke</dc:creator>
  <cp:lastModifiedBy>Karen Gilligan</cp:lastModifiedBy>
  <cp:revision>2</cp:revision>
  <cp:lastPrinted>2018-05-10T20:50:00Z</cp:lastPrinted>
  <dcterms:created xsi:type="dcterms:W3CDTF">2018-05-23T01:35:00Z</dcterms:created>
  <dcterms:modified xsi:type="dcterms:W3CDTF">2018-05-23T01:35:00Z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