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0FFF" w14:textId="77777777" w:rsidR="00D3363C" w:rsidRPr="00F015D3" w:rsidRDefault="00D3363C" w:rsidP="00250D77">
      <w:pPr>
        <w:pStyle w:val="Heading1"/>
      </w:pPr>
      <w:r w:rsidRPr="00F015D3">
        <w:t>Blind and Low Vision Education Network NZ</w:t>
      </w:r>
    </w:p>
    <w:p w14:paraId="0AF03D02" w14:textId="0971A1E2" w:rsidR="00D3363C" w:rsidRPr="003A2906" w:rsidRDefault="00D3363C" w:rsidP="00250D77">
      <w:pPr>
        <w:pStyle w:val="Heading2"/>
        <w:spacing w:before="0" w:beforeAutospacing="0" w:after="0" w:afterAutospacing="0"/>
      </w:pPr>
      <w:r w:rsidRPr="00A03DBD">
        <w:t>Te Kotuituinga Matauranga Pura O Aotearoa</w:t>
      </w:r>
    </w:p>
    <w:p w14:paraId="3D6121B6" w14:textId="77777777" w:rsidR="00D3363C" w:rsidRDefault="00D3363C" w:rsidP="00250D77">
      <w:pPr>
        <w:pStyle w:val="Heading2"/>
        <w:spacing w:before="0" w:beforeAutospacing="0" w:after="0" w:afterAutospacing="0"/>
      </w:pPr>
      <w:r w:rsidRPr="00F015D3">
        <w:t>A National Network of Services for Children and Young People</w:t>
      </w:r>
    </w:p>
    <w:p w14:paraId="7EB742FE" w14:textId="384AAC0A" w:rsidR="00EB29B2" w:rsidRPr="00250D77" w:rsidRDefault="00D3363C" w:rsidP="00250D77">
      <w:pPr>
        <w:pStyle w:val="Heading1"/>
      </w:pPr>
      <w:r w:rsidRPr="00250D77">
        <w:t xml:space="preserve">Strategic Plan 2026 – </w:t>
      </w:r>
      <w:r w:rsidR="00250D77" w:rsidRPr="00250D77">
        <w:t>202</w:t>
      </w:r>
      <w:r w:rsidR="00315BE6">
        <w:t>8</w:t>
      </w:r>
      <w:r w:rsidR="00250D77" w:rsidRPr="00250D77">
        <w:t xml:space="preserve"> (</w:t>
      </w:r>
      <w:r w:rsidRPr="00250D77">
        <w:t>2029</w:t>
      </w:r>
      <w:r w:rsidR="00250D77" w:rsidRPr="00250D77">
        <w:t>)</w:t>
      </w:r>
    </w:p>
    <w:p w14:paraId="4B4B63E1" w14:textId="383BCB0D" w:rsidR="00D3363C" w:rsidRPr="00250D77" w:rsidRDefault="00007DC2" w:rsidP="00250D77">
      <w:pPr>
        <w:pStyle w:val="Heading2"/>
      </w:pPr>
      <w:r w:rsidRPr="00250D77">
        <w:t>Strategic Overview</w:t>
      </w:r>
    </w:p>
    <w:p w14:paraId="63315E42" w14:textId="1E593039" w:rsidR="00007DC2" w:rsidRDefault="00007DC2" w:rsidP="00007DC2">
      <w:pPr>
        <w:pStyle w:val="Heading3"/>
      </w:pPr>
      <w:r>
        <w:t>Vision</w:t>
      </w:r>
    </w:p>
    <w:p w14:paraId="3F878FE6" w14:textId="4F83AA70" w:rsidR="00FE2F52" w:rsidRPr="00FE2F52" w:rsidRDefault="00984A28" w:rsidP="00FE2F52">
      <w:r>
        <w:t>Every BLENNZ ākonga is well prepared to achieve in life</w:t>
      </w:r>
    </w:p>
    <w:p w14:paraId="16DA82B6" w14:textId="31CE1AD9" w:rsidR="00007DC2" w:rsidRDefault="00007DC2" w:rsidP="00007DC2">
      <w:pPr>
        <w:pStyle w:val="Heading3"/>
      </w:pPr>
      <w:r>
        <w:t>Mission</w:t>
      </w:r>
    </w:p>
    <w:p w14:paraId="559F4C06" w14:textId="5DA0ED93" w:rsidR="00984A28" w:rsidRPr="00984A28" w:rsidRDefault="00244D40" w:rsidP="00244D40">
      <w:r>
        <w:t>To enable ākonga who are blind, deafblind or have low vision to reach their full potential, BLENNZ provides quality education and specialist teaching services in partnership with whānau, educators and the wider community</w:t>
      </w:r>
    </w:p>
    <w:p w14:paraId="5FD642A5" w14:textId="1BDD2823" w:rsidR="00FE2F52" w:rsidRDefault="00FE2F52" w:rsidP="00FE2F52">
      <w:pPr>
        <w:pStyle w:val="Heading3"/>
      </w:pPr>
      <w:r>
        <w:t>Beliefs</w:t>
      </w:r>
    </w:p>
    <w:p w14:paraId="1BCE181D" w14:textId="77777777" w:rsidR="005D4C66" w:rsidRDefault="005D4C66" w:rsidP="00250D77">
      <w:pPr>
        <w:pStyle w:val="ListParagraph"/>
        <w:numPr>
          <w:ilvl w:val="0"/>
          <w:numId w:val="39"/>
        </w:numPr>
      </w:pPr>
      <w:r>
        <w:t>Parents and whānau are the prime educators in their child’s learning.</w:t>
      </w:r>
    </w:p>
    <w:p w14:paraId="4C7FC908" w14:textId="77777777" w:rsidR="005D4C66" w:rsidRDefault="005D4C66" w:rsidP="00250D77">
      <w:pPr>
        <w:pStyle w:val="ListParagraph"/>
        <w:numPr>
          <w:ilvl w:val="0"/>
          <w:numId w:val="39"/>
        </w:numPr>
      </w:pPr>
      <w:r>
        <w:t>Education is focused on the ākonga within the context of whānau, community and culture.</w:t>
      </w:r>
    </w:p>
    <w:p w14:paraId="5D501018" w14:textId="77777777" w:rsidR="005D4C66" w:rsidRDefault="005D4C66" w:rsidP="00250D77">
      <w:pPr>
        <w:pStyle w:val="ListParagraph"/>
        <w:numPr>
          <w:ilvl w:val="0"/>
          <w:numId w:val="39"/>
        </w:numPr>
      </w:pPr>
      <w:r>
        <w:t>Learning occurs through active engagement in meaningful environments.</w:t>
      </w:r>
    </w:p>
    <w:p w14:paraId="638660E7" w14:textId="77777777" w:rsidR="005D4C66" w:rsidRDefault="005D4C66" w:rsidP="00250D77">
      <w:pPr>
        <w:pStyle w:val="ListParagraph"/>
        <w:numPr>
          <w:ilvl w:val="0"/>
          <w:numId w:val="39"/>
        </w:numPr>
      </w:pPr>
      <w:r>
        <w:t>Ākonga have unique needs requiring specialist learning and teaching approaches.</w:t>
      </w:r>
    </w:p>
    <w:p w14:paraId="3540653F" w14:textId="77777777" w:rsidR="005D4C66" w:rsidRDefault="005D4C66" w:rsidP="00250D77">
      <w:pPr>
        <w:pStyle w:val="ListParagraph"/>
        <w:numPr>
          <w:ilvl w:val="0"/>
          <w:numId w:val="39"/>
        </w:numPr>
      </w:pPr>
      <w:r>
        <w:t>Ākonga have the right to equitable access to education.</w:t>
      </w:r>
    </w:p>
    <w:p w14:paraId="0278E7E0" w14:textId="77777777" w:rsidR="005D4C66" w:rsidRDefault="005D4C66" w:rsidP="00250D77">
      <w:pPr>
        <w:pStyle w:val="ListParagraph"/>
        <w:numPr>
          <w:ilvl w:val="0"/>
          <w:numId w:val="39"/>
        </w:numPr>
      </w:pPr>
      <w:r>
        <w:t>Ākonga have a right to belong and to realise their potential as participating and contributing members of society.</w:t>
      </w:r>
    </w:p>
    <w:p w14:paraId="65C36B89" w14:textId="73642283" w:rsidR="00244D40" w:rsidRPr="00244D40" w:rsidRDefault="005D4C66" w:rsidP="00250D77">
      <w:pPr>
        <w:pStyle w:val="ListParagraph"/>
        <w:numPr>
          <w:ilvl w:val="0"/>
          <w:numId w:val="39"/>
        </w:numPr>
      </w:pPr>
      <w:r>
        <w:t>Team collaboration promotes positive outcomes for ākonga.</w:t>
      </w:r>
    </w:p>
    <w:p w14:paraId="1E5A65CE" w14:textId="43E5A583" w:rsidR="00FE2F52" w:rsidRDefault="00FE2F52" w:rsidP="00FE2F52">
      <w:pPr>
        <w:pStyle w:val="Heading3"/>
      </w:pPr>
      <w:r>
        <w:t>Values</w:t>
      </w:r>
    </w:p>
    <w:p w14:paraId="61BEE730" w14:textId="40AFDCAE" w:rsidR="00AE0EBB" w:rsidRDefault="00AE0EBB" w:rsidP="00AE0EBB">
      <w:r>
        <w:t xml:space="preserve">BLENNZ whānau includes ākonga, their whānau, educators and the wider community. </w:t>
      </w:r>
    </w:p>
    <w:p w14:paraId="73B805EF" w14:textId="77777777" w:rsidR="00AE0EBB" w:rsidRDefault="00AE0EBB" w:rsidP="00250D77">
      <w:pPr>
        <w:pStyle w:val="Heading4"/>
      </w:pPr>
      <w:r>
        <w:t>Whanaungatanga</w:t>
      </w:r>
    </w:p>
    <w:p w14:paraId="75C8986F" w14:textId="77777777" w:rsidR="00AE0EBB" w:rsidRDefault="00AE0EBB" w:rsidP="00AE0EBB">
      <w:r>
        <w:t>At BLENNZ, we demonstrate whanaungatanga through valuing people by building relationships with whānau, prioritising time to get to know them and establish connections.</w:t>
      </w:r>
    </w:p>
    <w:p w14:paraId="2B8CC8D8" w14:textId="77777777" w:rsidR="00AE0EBB" w:rsidRDefault="00AE0EBB" w:rsidP="00250D77">
      <w:pPr>
        <w:pStyle w:val="Heading4"/>
      </w:pPr>
      <w:r>
        <w:lastRenderedPageBreak/>
        <w:t>Manaakitanga</w:t>
      </w:r>
    </w:p>
    <w:p w14:paraId="66CE7A1F" w14:textId="77777777" w:rsidR="00AE0EBB" w:rsidRDefault="00AE0EBB" w:rsidP="00AE0EBB">
      <w:r w:rsidRPr="007F2980">
        <w:t>At BLENNZ, we elevate mana by showing respect for the emotional, spiritual, cultural, physical, and mental wellbeing in the way we welcome, nurture, and nourish people</w:t>
      </w:r>
    </w:p>
    <w:p w14:paraId="09940D8C" w14:textId="4AE24DC6" w:rsidR="00AE0EBB" w:rsidRPr="00AE0EBB" w:rsidRDefault="00AE0EBB" w:rsidP="00250D77">
      <w:pPr>
        <w:pStyle w:val="Heading4"/>
      </w:pPr>
      <w:r>
        <w:t>Awhinatanga</w:t>
      </w:r>
    </w:p>
    <w:p w14:paraId="0FD87247" w14:textId="77777777" w:rsidR="00AE0EBB" w:rsidRDefault="00AE0EBB" w:rsidP="00AE0EBB">
      <w:r>
        <w:t>At BLENNZ, we demonstrate awhinatanga through the spirit in which we engage and empathise with each other by assisting the learning of ākonga and whānau.</w:t>
      </w:r>
    </w:p>
    <w:p w14:paraId="7DA4CD07" w14:textId="77777777" w:rsidR="00AE0EBB" w:rsidRDefault="00AE0EBB" w:rsidP="006B43B6">
      <w:pPr>
        <w:pStyle w:val="Heading4"/>
      </w:pPr>
      <w:r>
        <w:t>Kotahitanga</w:t>
      </w:r>
    </w:p>
    <w:p w14:paraId="365A916F" w14:textId="77777777" w:rsidR="00AE0EBB" w:rsidRDefault="00AE0EBB" w:rsidP="00AE0EBB">
      <w:r>
        <w:t>At BLENNZ, we demonstrate kotahitanga through striving to reach consensus and unity of purpose, while acknowledging and respecting individual differences and perspectives.</w:t>
      </w:r>
    </w:p>
    <w:p w14:paraId="4B8A2DF5" w14:textId="77777777" w:rsidR="00AE0EBB" w:rsidRDefault="00AE0EBB" w:rsidP="006B43B6">
      <w:pPr>
        <w:pStyle w:val="Heading4"/>
      </w:pPr>
      <w:r>
        <w:t>Ako</w:t>
      </w:r>
    </w:p>
    <w:p w14:paraId="6C17B58E" w14:textId="2472E5F8" w:rsidR="005D4C66" w:rsidRDefault="00AE0EBB" w:rsidP="00AE0EBB">
      <w:r>
        <w:t>At BLENNZ, we demonstrate ako through creating opportunities where we can learn from each other, recognising that everybody brings knowledge and that ākonga and whānau are intertwined</w:t>
      </w:r>
      <w:r w:rsidR="004A72C1">
        <w:t>.</w:t>
      </w:r>
    </w:p>
    <w:p w14:paraId="4E1B989C" w14:textId="77777777" w:rsidR="004A72C1" w:rsidRPr="008E5B7B" w:rsidRDefault="004A72C1" w:rsidP="004A72C1">
      <w:pPr>
        <w:pStyle w:val="Heading2"/>
      </w:pPr>
      <w:hyperlink r:id="rId11" w:anchor="objectives" w:history="1">
        <w:r w:rsidRPr="008E5B7B">
          <w:rPr>
            <w:rStyle w:val="Hyperlink"/>
            <w:color w:val="auto"/>
            <w:u w:val="none"/>
          </w:rPr>
          <w:t>School Board Objectives under the Education Act:</w:t>
        </w:r>
      </w:hyperlink>
    </w:p>
    <w:p w14:paraId="13BA877E" w14:textId="77777777" w:rsidR="004A72C1" w:rsidRDefault="004A72C1" w:rsidP="004A72C1">
      <w:r>
        <w:t>Section 127 of the Act provides that a board's primary objectives are to ensure that:</w:t>
      </w:r>
    </w:p>
    <w:p w14:paraId="75ECB90C" w14:textId="77777777" w:rsidR="004A72C1" w:rsidRPr="004A72C1" w:rsidRDefault="004A72C1" w:rsidP="00250D77">
      <w:pPr>
        <w:pStyle w:val="ListParagraph"/>
        <w:numPr>
          <w:ilvl w:val="0"/>
          <w:numId w:val="43"/>
        </w:numPr>
      </w:pPr>
      <w:r w:rsidRPr="004A72C1">
        <w:t xml:space="preserve">every student at the school </w:t>
      </w:r>
      <w:proofErr w:type="gramStart"/>
      <w:r w:rsidRPr="004A72C1">
        <w:t>is able to</w:t>
      </w:r>
      <w:proofErr w:type="gramEnd"/>
      <w:r w:rsidRPr="004A72C1">
        <w:t xml:space="preserve"> attain their highest possible standard in education achievement.</w:t>
      </w:r>
    </w:p>
    <w:p w14:paraId="1583FE1E" w14:textId="77777777" w:rsidR="004A72C1" w:rsidRPr="004A72C1" w:rsidRDefault="004A72C1" w:rsidP="00250D77">
      <w:pPr>
        <w:pStyle w:val="ListParagraph"/>
        <w:numPr>
          <w:ilvl w:val="0"/>
          <w:numId w:val="43"/>
        </w:numPr>
      </w:pPr>
      <w:r w:rsidRPr="004A72C1">
        <w:t>the school:</w:t>
      </w:r>
    </w:p>
    <w:p w14:paraId="03B88903" w14:textId="77777777" w:rsidR="004A72C1" w:rsidRPr="004A72C1" w:rsidRDefault="004A72C1" w:rsidP="00250D77">
      <w:pPr>
        <w:pStyle w:val="ListParagraph"/>
        <w:numPr>
          <w:ilvl w:val="1"/>
          <w:numId w:val="43"/>
        </w:numPr>
      </w:pPr>
      <w:r w:rsidRPr="004A72C1">
        <w:t>is a physically and emotionally safe place for all students and staff.</w:t>
      </w:r>
    </w:p>
    <w:p w14:paraId="596CEFD6" w14:textId="77777777" w:rsidR="004A72C1" w:rsidRPr="004A72C1" w:rsidRDefault="004A72C1" w:rsidP="00250D77">
      <w:pPr>
        <w:pStyle w:val="ListParagraph"/>
        <w:numPr>
          <w:ilvl w:val="1"/>
          <w:numId w:val="43"/>
        </w:numPr>
      </w:pPr>
      <w:r w:rsidRPr="004A72C1">
        <w:t>gives effect to relevant student rights.</w:t>
      </w:r>
    </w:p>
    <w:p w14:paraId="4339C3FA" w14:textId="77777777" w:rsidR="004A72C1" w:rsidRPr="004A72C1" w:rsidRDefault="004A72C1" w:rsidP="00250D77">
      <w:pPr>
        <w:pStyle w:val="ListParagraph"/>
        <w:numPr>
          <w:ilvl w:val="1"/>
          <w:numId w:val="43"/>
        </w:numPr>
      </w:pPr>
      <w:r w:rsidRPr="004A72C1">
        <w:t>takes all reasonable steps to eliminate racism, stigma, bullying, and any other forms of discrimination within the school.</w:t>
      </w:r>
    </w:p>
    <w:p w14:paraId="1A20227E" w14:textId="77777777" w:rsidR="004A72C1" w:rsidRPr="004A72C1" w:rsidRDefault="004A72C1" w:rsidP="00250D77">
      <w:pPr>
        <w:pStyle w:val="ListParagraph"/>
        <w:numPr>
          <w:ilvl w:val="1"/>
          <w:numId w:val="43"/>
        </w:numPr>
      </w:pPr>
      <w:r w:rsidRPr="004A72C1">
        <w:t>the school is inclusive of and caters for students with differing needs.</w:t>
      </w:r>
    </w:p>
    <w:p w14:paraId="5DD7F8FD" w14:textId="77777777" w:rsidR="004A72C1" w:rsidRPr="004A72C1" w:rsidRDefault="004A72C1" w:rsidP="00250D77">
      <w:pPr>
        <w:pStyle w:val="ListParagraph"/>
        <w:numPr>
          <w:ilvl w:val="1"/>
          <w:numId w:val="43"/>
        </w:numPr>
      </w:pPr>
      <w:r w:rsidRPr="004A72C1">
        <w:t>the school gives effect to Te Tiriti o Waitangi including by:</w:t>
      </w:r>
    </w:p>
    <w:p w14:paraId="4177EB1C" w14:textId="77777777" w:rsidR="004A72C1" w:rsidRPr="004A72C1" w:rsidRDefault="004A72C1" w:rsidP="00250D77">
      <w:pPr>
        <w:pStyle w:val="ListParagraph"/>
        <w:numPr>
          <w:ilvl w:val="2"/>
          <w:numId w:val="43"/>
        </w:numPr>
      </w:pPr>
      <w:r w:rsidRPr="004A72C1">
        <w:t>working to ensure its plans, policies and local curriculum reflect local tikanga Māori, mātauranga Māori and te ao Māori.</w:t>
      </w:r>
    </w:p>
    <w:p w14:paraId="3CCFA236" w14:textId="2BE7F3D1" w:rsidR="004A72C1" w:rsidRPr="004A72C1" w:rsidRDefault="004A72C1" w:rsidP="00250D77">
      <w:pPr>
        <w:pStyle w:val="ListParagraph"/>
        <w:numPr>
          <w:ilvl w:val="2"/>
          <w:numId w:val="43"/>
        </w:numPr>
      </w:pPr>
      <w:r w:rsidRPr="004A72C1">
        <w:t>taking all reasonable steps to make instruction available in tikanga Māori and te reo Māori achieving equitable outcomes for Māori students.</w:t>
      </w:r>
    </w:p>
    <w:p w14:paraId="73656D17" w14:textId="3B6B1728" w:rsidR="004A72C1" w:rsidRDefault="004A72C1" w:rsidP="004A72C1">
      <w:r w:rsidRPr="003D79AC">
        <w:rPr>
          <w:b/>
          <w:bCs/>
        </w:rPr>
        <w:t>Note:</w:t>
      </w:r>
      <w:r>
        <w:t xml:space="preserve"> </w:t>
      </w:r>
      <w:r w:rsidRPr="003D79AC">
        <w:t xml:space="preserve">There is a current bill, </w:t>
      </w:r>
      <w:r>
        <w:t xml:space="preserve">before Parliament - </w:t>
      </w:r>
      <w:r w:rsidRPr="003D79AC">
        <w:t>the Education and Training Amendment Bill (No. 2), which proposes further changes related to student achievement, workforce development, and curriculum. </w:t>
      </w:r>
      <w:r>
        <w:t xml:space="preserve"> </w:t>
      </w:r>
    </w:p>
    <w:p w14:paraId="10ACBEAC" w14:textId="1516F994" w:rsidR="004A72C1" w:rsidRDefault="004A72C1" w:rsidP="004A72C1">
      <w:r>
        <w:lastRenderedPageBreak/>
        <w:t xml:space="preserve">This page will be updated following the outcome of the </w:t>
      </w:r>
      <w:r w:rsidRPr="003D79AC">
        <w:t>Education and Training Amendment Bill (No. 2)</w:t>
      </w:r>
      <w:r>
        <w:t>.</w:t>
      </w:r>
    </w:p>
    <w:p w14:paraId="5F53F783" w14:textId="2BDEC217" w:rsidR="00F94FA9" w:rsidRPr="003A2906" w:rsidRDefault="00F94FA9" w:rsidP="003A2906">
      <w:pPr>
        <w:pStyle w:val="Heading2"/>
        <w:rPr>
          <w:lang w:val="mi-NZ" w:eastAsia="en-NZ"/>
        </w:rPr>
      </w:pPr>
      <w:r w:rsidRPr="00E14E94">
        <w:t xml:space="preserve">Strategic Goals </w:t>
      </w:r>
      <w:r>
        <w:t xml:space="preserve">2026 </w:t>
      </w:r>
      <w:r w:rsidR="0054488E">
        <w:t>–</w:t>
      </w:r>
      <w:r>
        <w:t xml:space="preserve"> </w:t>
      </w:r>
      <w:r w:rsidR="0054488E">
        <w:t>2028 (</w:t>
      </w:r>
      <w:r>
        <w:t>2029</w:t>
      </w:r>
      <w:r w:rsidR="0054488E">
        <w:t>)</w:t>
      </w:r>
    </w:p>
    <w:p w14:paraId="69E0CFB2" w14:textId="17F2A34D" w:rsidR="00F94FA9" w:rsidRPr="00F94FA9" w:rsidRDefault="00F94FA9" w:rsidP="00F94FA9">
      <w:pPr>
        <w:pStyle w:val="Heading3"/>
      </w:pPr>
      <w:r w:rsidRPr="00F94FA9">
        <w:t>Summary of the information used to create and develop this plan</w:t>
      </w:r>
    </w:p>
    <w:p w14:paraId="708CD79F" w14:textId="77777777" w:rsidR="00F94FA9" w:rsidRDefault="00F94FA9" w:rsidP="00A7752C">
      <w:r>
        <w:t>In 2025 the BLENNZ Board carried out their community engagement with staff, wh</w:t>
      </w:r>
      <w:r w:rsidRPr="2B595169">
        <w:rPr>
          <w:rFonts w:cs="Arial"/>
        </w:rPr>
        <w:t>ā</w:t>
      </w:r>
      <w:r>
        <w:t xml:space="preserve">nau of </w:t>
      </w:r>
      <w:r w:rsidRPr="2B595169">
        <w:rPr>
          <w:rFonts w:cs="Arial"/>
        </w:rPr>
        <w:t>ā</w:t>
      </w:r>
      <w:r>
        <w:t>konga on the BLENNZ roll and stakeholders. The goals, actions and initiatives in this plan are the result of a thorough analysis of the data received and analysed which has identified priority goals of Quality Practice, Knowing BLENNZ and Government priorities.</w:t>
      </w:r>
    </w:p>
    <w:p w14:paraId="3017B835" w14:textId="33A0F95E" w:rsidR="00F94FA9" w:rsidRPr="00F94FA9" w:rsidRDefault="00F94FA9" w:rsidP="00A7752C">
      <w:pPr>
        <w:rPr>
          <w:rFonts w:eastAsia="Arial" w:cs="Arial"/>
        </w:rPr>
      </w:pPr>
      <w:r w:rsidRPr="7FD15D53">
        <w:rPr>
          <w:rFonts w:eastAsia="Arial" w:cs="Arial"/>
          <w:color w:val="000000" w:themeColor="text1"/>
          <w:lang w:val="en-NZ"/>
        </w:rPr>
        <w:t>BLENNZ delivers high-quality, inclusive teaching through the Expanded Core Curriculum (ECC), honouring Te Tiriti o Waitangi by valuing Māori identity, language, and culture in partnership with ākonga, whānau, and communities.</w:t>
      </w:r>
    </w:p>
    <w:p w14:paraId="190294A2" w14:textId="77777777" w:rsidR="00F94FA9" w:rsidRDefault="00F94FA9" w:rsidP="006B43B6">
      <w:pPr>
        <w:pStyle w:val="Heading3"/>
      </w:pPr>
      <w:r>
        <w:t xml:space="preserve">Goal 1 – Quality Practice </w:t>
      </w:r>
    </w:p>
    <w:p w14:paraId="130CDA5B" w14:textId="77777777" w:rsidR="00F94FA9" w:rsidRPr="00A7752C" w:rsidRDefault="00F94FA9" w:rsidP="00A7752C">
      <w:pPr>
        <w:rPr>
          <w:b/>
          <w:bCs/>
        </w:rPr>
      </w:pPr>
      <w:r w:rsidRPr="00A7752C">
        <w:rPr>
          <w:b/>
          <w:bCs/>
        </w:rPr>
        <w:t>To grow highly capable teaching teams with expertise in the BLENNZ Expanded Core Curriculum (ECC).</w:t>
      </w:r>
    </w:p>
    <w:p w14:paraId="6F217DD1" w14:textId="77777777" w:rsidR="00F94FA9" w:rsidRPr="00087B7B" w:rsidRDefault="00F94FA9" w:rsidP="00A7752C">
      <w:r w:rsidRPr="42297874">
        <w:rPr>
          <w:lang w:val="en-GB"/>
        </w:rPr>
        <w:t xml:space="preserve">Teaching and learning is grounded in the foundational skills of the BLENNZ Expanded Core Curriculum provided through exemplary practice and enhanced by equity and inclusion for all </w:t>
      </w:r>
      <w:r w:rsidRPr="42297874">
        <w:rPr>
          <w:rFonts w:eastAsia="Arial" w:cs="Arial"/>
          <w:color w:val="000000" w:themeColor="text1"/>
        </w:rPr>
        <w:t>ākonga</w:t>
      </w:r>
      <w:r w:rsidRPr="42297874">
        <w:rPr>
          <w:lang w:val="en-GB"/>
        </w:rPr>
        <w:t>.      </w:t>
      </w:r>
    </w:p>
    <w:p w14:paraId="4AD7BF26" w14:textId="0200A086" w:rsidR="00F94FA9" w:rsidRPr="00A7752C" w:rsidRDefault="00F94FA9" w:rsidP="00A7752C">
      <w:pPr>
        <w:rPr>
          <w:rFonts w:eastAsia="Arial" w:cs="Arial"/>
          <w:highlight w:val="yellow"/>
        </w:rPr>
      </w:pPr>
      <w:r w:rsidRPr="00EB0336">
        <w:rPr>
          <w:rFonts w:eastAsia="Arial" w:cs="Arial"/>
          <w:b/>
          <w:bCs/>
          <w:color w:val="000000" w:themeColor="text1"/>
        </w:rPr>
        <w:t>Deepen expertise in the BLENNZ Expanded Core Curriculum</w:t>
      </w:r>
      <w:r w:rsidRPr="00436D06">
        <w:rPr>
          <w:rFonts w:eastAsia="Arial" w:cs="Arial"/>
          <w:color w:val="000000" w:themeColor="text1"/>
        </w:rPr>
        <w:t xml:space="preserve"> through ongoing professional learning, collaboration, and evidence-based practice. Ensure consistent, intentional teaching that embeds </w:t>
      </w:r>
      <w:r>
        <w:rPr>
          <w:rFonts w:eastAsia="Arial" w:cs="Arial"/>
          <w:color w:val="000000" w:themeColor="text1"/>
        </w:rPr>
        <w:t xml:space="preserve">BLENNZ </w:t>
      </w:r>
      <w:r w:rsidRPr="00436D06">
        <w:rPr>
          <w:rFonts w:eastAsia="Arial" w:cs="Arial"/>
          <w:color w:val="000000" w:themeColor="text1"/>
        </w:rPr>
        <w:t>ECC skills across all learning contexts and developmental phases, empowering</w:t>
      </w:r>
      <w:r>
        <w:rPr>
          <w:rFonts w:eastAsia="Arial" w:cs="Arial"/>
          <w:color w:val="000000" w:themeColor="text1"/>
        </w:rPr>
        <w:t xml:space="preserve"> all</w:t>
      </w:r>
      <w:r w:rsidRPr="00436D06">
        <w:rPr>
          <w:rFonts w:eastAsia="Arial" w:cs="Arial"/>
          <w:color w:val="000000" w:themeColor="text1"/>
        </w:rPr>
        <w:t xml:space="preserve"> ākonga through high-quality, inclusive instruction</w:t>
      </w:r>
      <w:r w:rsidRPr="6BCB1564">
        <w:rPr>
          <w:rFonts w:eastAsia="Arial" w:cs="Arial"/>
          <w:color w:val="000000" w:themeColor="text1"/>
        </w:rPr>
        <w:t xml:space="preserve">, </w:t>
      </w:r>
      <w:r w:rsidRPr="00293766">
        <w:rPr>
          <w:rFonts w:eastAsia="Arial" w:cs="Arial"/>
        </w:rPr>
        <w:t>and supporting Māori participation and success.</w:t>
      </w:r>
    </w:p>
    <w:p w14:paraId="40B4E18A" w14:textId="2716687A" w:rsidR="00F94FA9" w:rsidRPr="00A7752C" w:rsidRDefault="00F94FA9" w:rsidP="00A7752C">
      <w:pPr>
        <w:rPr>
          <w:rFonts w:eastAsia="Arial" w:cs="Arial"/>
          <w:highlight w:val="yellow"/>
        </w:rPr>
      </w:pPr>
      <w:r w:rsidRPr="00EB0336">
        <w:rPr>
          <w:rFonts w:eastAsia="Arial" w:cs="Arial"/>
          <w:b/>
          <w:bCs/>
          <w:color w:val="000000" w:themeColor="text1"/>
        </w:rPr>
        <w:t>Build cohesive, capable teaching teams</w:t>
      </w:r>
      <w:r w:rsidRPr="00AF7736">
        <w:rPr>
          <w:rFonts w:eastAsia="Arial" w:cs="Arial"/>
          <w:color w:val="000000" w:themeColor="text1"/>
        </w:rPr>
        <w:t xml:space="preserve"> that share responsibility and reflect on practice to drive continuous improvement that is strengthened through team collaboration. Develop cohesive teaching teams that collaborate effectively, share quality practices</w:t>
      </w:r>
      <w:r w:rsidRPr="51AB82B7">
        <w:rPr>
          <w:rFonts w:eastAsia="Arial" w:cs="Arial"/>
          <w:color w:val="000000" w:themeColor="text1"/>
        </w:rPr>
        <w:t xml:space="preserve"> </w:t>
      </w:r>
      <w:r w:rsidRPr="0007473C">
        <w:rPr>
          <w:rFonts w:eastAsia="Arial" w:cs="Arial"/>
        </w:rPr>
        <w:t>that value Māori perspectives and uphold Treaty obligations</w:t>
      </w:r>
      <w:r w:rsidRPr="6A050E39">
        <w:rPr>
          <w:rFonts w:eastAsia="Arial" w:cs="Arial"/>
          <w:color w:val="000000" w:themeColor="text1"/>
        </w:rPr>
        <w:t>,</w:t>
      </w:r>
      <w:r w:rsidRPr="00AF7736">
        <w:rPr>
          <w:rFonts w:eastAsia="Arial" w:cs="Arial"/>
          <w:color w:val="000000" w:themeColor="text1"/>
        </w:rPr>
        <w:t xml:space="preserve"> and reflect together to enhance collective capability.</w:t>
      </w:r>
      <w:r w:rsidRPr="7303BF2D">
        <w:rPr>
          <w:rFonts w:eastAsia="Arial" w:cs="Arial"/>
          <w:color w:val="000000" w:themeColor="text1"/>
        </w:rPr>
        <w:t xml:space="preserve"> </w:t>
      </w:r>
    </w:p>
    <w:p w14:paraId="763D524E" w14:textId="77777777" w:rsidR="00F94FA9" w:rsidRPr="0031757A" w:rsidRDefault="00F94FA9" w:rsidP="006B43B6">
      <w:pPr>
        <w:pStyle w:val="Heading3"/>
      </w:pPr>
      <w:r w:rsidRPr="00163CA3">
        <w:t>Goal 2</w:t>
      </w:r>
      <w:r>
        <w:t xml:space="preserve"> – Knowing BLENNZ</w:t>
      </w:r>
    </w:p>
    <w:p w14:paraId="298B7F1C" w14:textId="77777777" w:rsidR="00F94FA9" w:rsidRPr="00AB4494" w:rsidRDefault="00F94FA9" w:rsidP="00AB4494">
      <w:pPr>
        <w:rPr>
          <w:b/>
          <w:bCs/>
        </w:rPr>
      </w:pPr>
      <w:r w:rsidRPr="00AB4494">
        <w:rPr>
          <w:b/>
          <w:bCs/>
        </w:rPr>
        <w:t xml:space="preserve">To build awareness, engagement and understanding of BLENNZ. </w:t>
      </w:r>
    </w:p>
    <w:p w14:paraId="679829EA" w14:textId="77777777" w:rsidR="00F94FA9" w:rsidRDefault="00F94FA9" w:rsidP="00AB4494">
      <w:pPr>
        <w:rPr>
          <w:lang w:val="en-GB"/>
        </w:rPr>
      </w:pPr>
      <w:r w:rsidRPr="00AB4494">
        <w:rPr>
          <w:b/>
          <w:bCs/>
          <w:lang w:val="en-GB"/>
        </w:rPr>
        <w:t>External</w:t>
      </w:r>
      <w:r>
        <w:br/>
      </w:r>
      <w:r w:rsidRPr="61C8B630">
        <w:rPr>
          <w:lang w:val="en-GB"/>
        </w:rPr>
        <w:t xml:space="preserve">To build awareness, engagement and understanding of BLENNZ systems and processes </w:t>
      </w:r>
      <w:r>
        <w:rPr>
          <w:lang w:val="en-GB"/>
        </w:rPr>
        <w:lastRenderedPageBreak/>
        <w:t xml:space="preserve">across </w:t>
      </w:r>
      <w:r w:rsidRPr="00401944">
        <w:rPr>
          <w:rFonts w:eastAsia="Arial" w:cs="Arial"/>
          <w:szCs w:val="24"/>
          <w:lang w:val="en-NZ"/>
        </w:rPr>
        <w:t>educational networks and with sector partners</w:t>
      </w:r>
      <w:r>
        <w:rPr>
          <w:rFonts w:eastAsia="Arial" w:cs="Arial"/>
          <w:szCs w:val="24"/>
          <w:lang w:val="en-NZ"/>
        </w:rPr>
        <w:t xml:space="preserve">, enabling accurate and informed collaboration. </w:t>
      </w:r>
    </w:p>
    <w:p w14:paraId="538CE08E" w14:textId="77777777" w:rsidR="00F94FA9" w:rsidRPr="00401944" w:rsidRDefault="00F94FA9" w:rsidP="00250D77">
      <w:pPr>
        <w:pStyle w:val="ListParagraph"/>
        <w:numPr>
          <w:ilvl w:val="0"/>
          <w:numId w:val="47"/>
        </w:numPr>
      </w:pPr>
      <w:r w:rsidRPr="00401944">
        <w:t xml:space="preserve">Stakeholders are provided with accurate information about BLENNZ systems and processes. </w:t>
      </w:r>
    </w:p>
    <w:p w14:paraId="5E8F8CAA" w14:textId="77777777" w:rsidR="00F94FA9" w:rsidRPr="00401944" w:rsidRDefault="00F94FA9" w:rsidP="00250D77">
      <w:pPr>
        <w:pStyle w:val="ListParagraph"/>
        <w:numPr>
          <w:ilvl w:val="0"/>
          <w:numId w:val="47"/>
        </w:numPr>
      </w:pPr>
      <w:r w:rsidRPr="00401944">
        <w:t>Educational settings are provided with accurate information about BLENNZ systems and processes.</w:t>
      </w:r>
    </w:p>
    <w:p w14:paraId="441430DF" w14:textId="77777777" w:rsidR="00F94FA9" w:rsidRDefault="00F94FA9" w:rsidP="00250D77">
      <w:pPr>
        <w:pStyle w:val="ListParagraph"/>
        <w:numPr>
          <w:ilvl w:val="0"/>
          <w:numId w:val="47"/>
        </w:numPr>
      </w:pPr>
      <w:r w:rsidRPr="00401944">
        <w:t>With effective engagement, whānau will be accurately informed about</w:t>
      </w:r>
      <w:r>
        <w:t xml:space="preserve"> BLENNZ services. </w:t>
      </w:r>
    </w:p>
    <w:p w14:paraId="55A3B00E" w14:textId="77777777" w:rsidR="00F94FA9" w:rsidRPr="00401944" w:rsidRDefault="00F94FA9" w:rsidP="00AB4494">
      <w:pPr>
        <w:rPr>
          <w:lang w:val="en-NZ"/>
        </w:rPr>
      </w:pPr>
      <w:r>
        <w:t xml:space="preserve">Collaboration will occur </w:t>
      </w:r>
      <w:r w:rsidRPr="00EB024F">
        <w:t xml:space="preserve">that </w:t>
      </w:r>
      <w:r w:rsidRPr="00EB024F">
        <w:rPr>
          <w:lang w:val="en-NZ"/>
        </w:rPr>
        <w:t>strengthens and culturally sustain</w:t>
      </w:r>
      <w:r>
        <w:rPr>
          <w:lang w:val="en-NZ"/>
        </w:rPr>
        <w:t>s</w:t>
      </w:r>
      <w:r w:rsidRPr="00EB024F">
        <w:rPr>
          <w:lang w:val="en-NZ"/>
        </w:rPr>
        <w:t xml:space="preserve"> partnerships with BLENNZ</w:t>
      </w:r>
      <w:r>
        <w:rPr>
          <w:lang w:val="en-NZ"/>
        </w:rPr>
        <w:t>.</w:t>
      </w:r>
      <w:r w:rsidRPr="00401944">
        <w:rPr>
          <w:lang w:val="en-NZ"/>
        </w:rPr>
        <w:t xml:space="preserve"> </w:t>
      </w:r>
    </w:p>
    <w:p w14:paraId="5C4406E1" w14:textId="1969AB89" w:rsidR="00F94FA9" w:rsidRPr="00AB4494" w:rsidRDefault="00F94FA9" w:rsidP="00AB4494">
      <w:pPr>
        <w:rPr>
          <w:lang w:val="en-NZ"/>
        </w:rPr>
      </w:pPr>
      <w:r>
        <w:t xml:space="preserve">Information will be shared in culturally responsive </w:t>
      </w:r>
      <w:r w:rsidRPr="00EB024F">
        <w:t xml:space="preserve">ways, </w:t>
      </w:r>
      <w:r w:rsidRPr="00EB024F">
        <w:rPr>
          <w:lang w:val="en-NZ"/>
        </w:rPr>
        <w:t>reflecting the diverse needs of ākonga and whānau, upholding mana and reflecting tikanga Māori.</w:t>
      </w:r>
      <w:r w:rsidRPr="00401944">
        <w:rPr>
          <w:lang w:val="en-NZ"/>
        </w:rPr>
        <w:t xml:space="preserve"> </w:t>
      </w:r>
    </w:p>
    <w:p w14:paraId="38C8D30F" w14:textId="77777777" w:rsidR="00F94FA9" w:rsidRPr="00401944" w:rsidRDefault="00F94FA9" w:rsidP="00AB4494">
      <w:pPr>
        <w:rPr>
          <w:lang w:val="en-GB"/>
        </w:rPr>
      </w:pPr>
      <w:r w:rsidRPr="00AB4494">
        <w:rPr>
          <w:b/>
          <w:bCs/>
          <w:lang w:val="en-GB"/>
        </w:rPr>
        <w:t>Internal</w:t>
      </w:r>
      <w:r>
        <w:rPr>
          <w:lang w:val="en-GB"/>
        </w:rPr>
        <w:br/>
      </w:r>
      <w:r w:rsidRPr="00401944">
        <w:rPr>
          <w:lang w:val="en-GB"/>
        </w:rPr>
        <w:t>To deepen understanding of BLENNZ systems and processes within the</w:t>
      </w:r>
      <w:r>
        <w:rPr>
          <w:lang w:val="en-GB"/>
        </w:rPr>
        <w:t xml:space="preserve"> </w:t>
      </w:r>
      <w:r w:rsidRPr="00401944">
        <w:rPr>
          <w:lang w:val="en-GB"/>
        </w:rPr>
        <w:t xml:space="preserve">network, </w:t>
      </w:r>
      <w:proofErr w:type="gramStart"/>
      <w:r w:rsidRPr="00401944">
        <w:rPr>
          <w:lang w:val="en-GB"/>
        </w:rPr>
        <w:t>in order to</w:t>
      </w:r>
      <w:proofErr w:type="gramEnd"/>
      <w:r w:rsidRPr="00401944">
        <w:rPr>
          <w:lang w:val="en-GB"/>
        </w:rPr>
        <w:t xml:space="preserve"> strengthen collaboration and enhance effectiveness across teaching and learning. </w:t>
      </w:r>
      <w:r w:rsidRPr="00401944">
        <w:t> </w:t>
      </w:r>
    </w:p>
    <w:p w14:paraId="0B55C0D1" w14:textId="77777777" w:rsidR="00F94FA9" w:rsidRPr="00401944" w:rsidRDefault="00F94FA9" w:rsidP="00AB4494">
      <w:r w:rsidRPr="00401944">
        <w:rPr>
          <w:lang w:val="en-NZ"/>
        </w:rPr>
        <w:t xml:space="preserve">Staff demonstrate professional knowledge of enrolment criteria and processes, BLENNZ specialist services, and reporting. </w:t>
      </w:r>
    </w:p>
    <w:p w14:paraId="73D2C7A6" w14:textId="77777777" w:rsidR="00F94FA9" w:rsidRPr="00401944" w:rsidRDefault="00F94FA9" w:rsidP="00AB4494">
      <w:r w:rsidRPr="00401944">
        <w:rPr>
          <w:lang w:val="en-NZ"/>
        </w:rPr>
        <w:t xml:space="preserve">Staff uphold professional responsibility and confidently use processes to access BLENNZ services and resources. </w:t>
      </w:r>
    </w:p>
    <w:p w14:paraId="78420E35" w14:textId="77777777" w:rsidR="00F94FA9" w:rsidRPr="00401944" w:rsidRDefault="00F94FA9" w:rsidP="00AB4494">
      <w:r w:rsidRPr="00401944">
        <w:rPr>
          <w:lang w:val="en-NZ"/>
        </w:rPr>
        <w:t>Employment processes are clearly defined, accurately implemented, and reflect equitable and culturally safe practices.</w:t>
      </w:r>
    </w:p>
    <w:p w14:paraId="2E59F4C5" w14:textId="5B0E2454" w:rsidR="00F94FA9" w:rsidRDefault="00F94FA9" w:rsidP="00AB4494">
      <w:pPr>
        <w:rPr>
          <w:lang w:val="en-NZ"/>
        </w:rPr>
      </w:pPr>
      <w:r w:rsidRPr="00445AF2">
        <w:rPr>
          <w:lang w:val="en-NZ"/>
        </w:rPr>
        <w:t>Deeper knowledge of BLENNZ systems and processes will be applied in culturally responsive teaching and learning practices that are inclusive of the cultural identities of ākonga</w:t>
      </w:r>
      <w:r>
        <w:rPr>
          <w:lang w:val="en-NZ"/>
        </w:rPr>
        <w:t>,</w:t>
      </w:r>
      <w:r w:rsidRPr="00445AF2">
        <w:rPr>
          <w:lang w:val="en-NZ"/>
        </w:rPr>
        <w:t xml:space="preserve"> their whānau and in line with principles of Te Tiriti.</w:t>
      </w:r>
    </w:p>
    <w:p w14:paraId="4C1005BA" w14:textId="77777777" w:rsidR="00F94FA9" w:rsidRDefault="00F94FA9" w:rsidP="006B43B6">
      <w:pPr>
        <w:pStyle w:val="Heading3"/>
      </w:pPr>
      <w:r>
        <w:t>Goal 3 – Government priorities</w:t>
      </w:r>
    </w:p>
    <w:p w14:paraId="1DB89A72" w14:textId="77777777" w:rsidR="00F94FA9" w:rsidRDefault="00F94FA9" w:rsidP="00163118">
      <w:r w:rsidRPr="00373BD3">
        <w:rPr>
          <w:lang w:val="en-GB"/>
        </w:rPr>
        <w:t xml:space="preserve">For teaching teams to understand, implement, and ensure access to learning in response to </w:t>
      </w:r>
      <w:r>
        <w:rPr>
          <w:lang w:val="en-GB"/>
        </w:rPr>
        <w:t>government priorities</w:t>
      </w:r>
      <w:r w:rsidRPr="00373BD3">
        <w:rPr>
          <w:lang w:val="en-GB"/>
        </w:rPr>
        <w:t xml:space="preserve"> and any ongoing changes in curriculum implementation.</w:t>
      </w:r>
    </w:p>
    <w:p w14:paraId="4E09D424" w14:textId="77777777" w:rsidR="00F94FA9" w:rsidRDefault="00F94FA9" w:rsidP="00163118">
      <w:pPr>
        <w:rPr>
          <w:rFonts w:eastAsia="Arial" w:cs="Arial"/>
          <w:lang w:val="en-GB"/>
        </w:rPr>
      </w:pPr>
      <w:r w:rsidRPr="2269F683">
        <w:rPr>
          <w:rFonts w:eastAsia="Arial" w:cs="Arial"/>
          <w:b/>
          <w:bCs/>
          <w:lang w:val="en-GB"/>
        </w:rPr>
        <w:t>Promote</w:t>
      </w:r>
      <w:r w:rsidRPr="0437B5B0">
        <w:rPr>
          <w:rFonts w:eastAsia="Arial" w:cs="Arial"/>
          <w:b/>
          <w:bCs/>
          <w:lang w:val="en-GB"/>
        </w:rPr>
        <w:t xml:space="preserve"> Equitable Access to Learning</w:t>
      </w:r>
      <w:r w:rsidRPr="0437B5B0">
        <w:rPr>
          <w:rFonts w:eastAsia="Arial" w:cs="Arial"/>
          <w:lang w:val="en-GB"/>
        </w:rPr>
        <w:t xml:space="preserve"> Establish </w:t>
      </w:r>
      <w:r>
        <w:rPr>
          <w:rFonts w:eastAsia="Arial" w:cs="Arial"/>
          <w:lang w:val="en-GB"/>
        </w:rPr>
        <w:t xml:space="preserve">and strengthen </w:t>
      </w:r>
      <w:r w:rsidRPr="0437B5B0">
        <w:rPr>
          <w:rFonts w:eastAsia="Arial" w:cs="Arial"/>
          <w:lang w:val="en-GB"/>
        </w:rPr>
        <w:t xml:space="preserve">systems that </w:t>
      </w:r>
      <w:r w:rsidRPr="3A44CD10">
        <w:rPr>
          <w:rFonts w:eastAsia="Arial" w:cs="Arial"/>
          <w:lang w:val="en-GB"/>
        </w:rPr>
        <w:t>advocate for</w:t>
      </w:r>
      <w:r w:rsidRPr="0437B5B0">
        <w:rPr>
          <w:rFonts w:eastAsia="Arial" w:cs="Arial"/>
          <w:lang w:val="en-GB"/>
        </w:rPr>
        <w:t xml:space="preserve"> all ākonga to access high-quality learning experiences in line with national curriculum expectations and inclusive education principles.</w:t>
      </w:r>
    </w:p>
    <w:p w14:paraId="6A1C42EA" w14:textId="77777777" w:rsidR="00F94FA9" w:rsidRDefault="00F94FA9" w:rsidP="00163118">
      <w:pPr>
        <w:rPr>
          <w:rFonts w:eastAsia="Arial" w:cs="Arial"/>
          <w:lang w:val="en-GB"/>
        </w:rPr>
      </w:pPr>
      <w:r w:rsidRPr="0437B5B0">
        <w:rPr>
          <w:rFonts w:eastAsia="Arial" w:cs="Arial"/>
          <w:b/>
          <w:bCs/>
          <w:lang w:val="en-GB"/>
        </w:rPr>
        <w:t xml:space="preserve">Build Curriculum </w:t>
      </w:r>
      <w:r w:rsidRPr="7A7A1A4A">
        <w:rPr>
          <w:rFonts w:eastAsia="Arial" w:cs="Arial"/>
          <w:b/>
          <w:bCs/>
          <w:lang w:val="en-GB"/>
        </w:rPr>
        <w:t>Knowledge</w:t>
      </w:r>
      <w:r w:rsidRPr="0437B5B0">
        <w:rPr>
          <w:rFonts w:eastAsia="Arial" w:cs="Arial"/>
          <w:lang w:val="en-GB"/>
        </w:rPr>
        <w:t xml:space="preserve"> Ensure all teaching teams develop a clear understanding of </w:t>
      </w:r>
      <w:r>
        <w:rPr>
          <w:rFonts w:eastAsia="Arial" w:cs="Arial"/>
          <w:lang w:val="en-GB"/>
        </w:rPr>
        <w:t>government education priorities</w:t>
      </w:r>
      <w:r w:rsidRPr="0437B5B0">
        <w:rPr>
          <w:rFonts w:eastAsia="Arial" w:cs="Arial"/>
          <w:lang w:val="en-GB"/>
        </w:rPr>
        <w:t xml:space="preserve"> </w:t>
      </w:r>
      <w:r>
        <w:rPr>
          <w:rFonts w:eastAsia="Arial" w:cs="Arial"/>
          <w:lang w:val="en-GB"/>
        </w:rPr>
        <w:t>and current pedagogy through t</w:t>
      </w:r>
      <w:r w:rsidRPr="0437B5B0">
        <w:rPr>
          <w:rFonts w:eastAsia="Arial" w:cs="Arial"/>
          <w:lang w:val="en-GB"/>
        </w:rPr>
        <w:t xml:space="preserve">argeted professional </w:t>
      </w:r>
      <w:r w:rsidRPr="0437B5B0">
        <w:rPr>
          <w:rFonts w:eastAsia="Arial" w:cs="Arial"/>
          <w:lang w:val="en-GB"/>
        </w:rPr>
        <w:lastRenderedPageBreak/>
        <w:t>development</w:t>
      </w:r>
      <w:r>
        <w:rPr>
          <w:rFonts w:eastAsia="Arial" w:cs="Arial"/>
          <w:lang w:val="en-GB"/>
        </w:rPr>
        <w:t>. BLENNZ staff can then contextualise to blind, deafblind and low vision learning.</w:t>
      </w:r>
    </w:p>
    <w:p w14:paraId="5940030B" w14:textId="77777777" w:rsidR="00F94FA9" w:rsidRDefault="00F94FA9" w:rsidP="00163118">
      <w:pPr>
        <w:rPr>
          <w:rFonts w:eastAsia="Arial" w:cs="Arial"/>
          <w:lang w:val="en-GB"/>
        </w:rPr>
      </w:pPr>
      <w:r w:rsidRPr="0437B5B0">
        <w:rPr>
          <w:rFonts w:eastAsia="Arial" w:cs="Arial"/>
          <w:b/>
          <w:bCs/>
          <w:lang w:val="en-GB"/>
        </w:rPr>
        <w:t>Implement Responsive Teaching Practices</w:t>
      </w:r>
      <w:r w:rsidRPr="0437B5B0">
        <w:rPr>
          <w:rFonts w:eastAsia="Arial" w:cs="Arial"/>
          <w:lang w:val="en-GB"/>
        </w:rPr>
        <w:t xml:space="preserve"> Support teaching teams to adapt</w:t>
      </w:r>
      <w:r>
        <w:rPr>
          <w:rFonts w:eastAsia="Arial" w:cs="Arial"/>
          <w:lang w:val="en-GB"/>
        </w:rPr>
        <w:t xml:space="preserve"> resources</w:t>
      </w:r>
      <w:r w:rsidRPr="0437B5B0">
        <w:rPr>
          <w:rFonts w:eastAsia="Arial" w:cs="Arial"/>
          <w:lang w:val="en-GB"/>
        </w:rPr>
        <w:t xml:space="preserve"> and align their instructional approaches with evolving government priorities</w:t>
      </w:r>
      <w:r>
        <w:rPr>
          <w:rFonts w:eastAsia="Arial" w:cs="Arial"/>
          <w:lang w:val="en-GB"/>
        </w:rPr>
        <w:t xml:space="preserve">. </w:t>
      </w:r>
    </w:p>
    <w:p w14:paraId="244F2DCF" w14:textId="7B9B18C3" w:rsidR="00163118" w:rsidRDefault="00652BC0" w:rsidP="00652BC0">
      <w:pPr>
        <w:pStyle w:val="Heading2"/>
        <w:rPr>
          <w:rFonts w:eastAsia="Arial"/>
          <w:lang w:val="en-GB"/>
        </w:rPr>
      </w:pPr>
      <w:r>
        <w:rPr>
          <w:rFonts w:eastAsia="Arial"/>
          <w:lang w:val="en-GB"/>
        </w:rPr>
        <w:t>Goals in detail</w:t>
      </w:r>
    </w:p>
    <w:p w14:paraId="4BF46E17" w14:textId="5CEFF390" w:rsidR="00105D93" w:rsidRPr="008361D3" w:rsidRDefault="00652BC0" w:rsidP="008361D3">
      <w:pPr>
        <w:pStyle w:val="Heading3"/>
        <w:rPr>
          <w:lang w:val="en-GB"/>
        </w:rPr>
      </w:pPr>
      <w:r>
        <w:rPr>
          <w:lang w:val="en-GB"/>
        </w:rPr>
        <w:t>Goal 1 – Quality Practice</w:t>
      </w:r>
      <w:r w:rsidR="008361D3">
        <w:rPr>
          <w:lang w:val="en-GB"/>
        </w:rPr>
        <w:t xml:space="preserve">: </w:t>
      </w:r>
      <w:r w:rsidR="00105D93" w:rsidRPr="00105D93">
        <w:t>To grow highly capable teaching teams with expertise in the BLENNZ Expanded Core Curriculum</w:t>
      </w:r>
    </w:p>
    <w:p w14:paraId="588089A9" w14:textId="2527C34F" w:rsidR="00DB5AAE" w:rsidRDefault="00DB5AAE" w:rsidP="00250D77">
      <w:pPr>
        <w:pStyle w:val="Heading4"/>
      </w:pPr>
      <w:r w:rsidRPr="00DB5AAE">
        <w:t>2026</w:t>
      </w:r>
    </w:p>
    <w:p w14:paraId="0EDDEB10" w14:textId="697C4659" w:rsidR="00B438BF" w:rsidRDefault="00B438BF" w:rsidP="00DB5AAE">
      <w:r>
        <w:t xml:space="preserve">Build </w:t>
      </w:r>
      <w:r w:rsidR="00193106">
        <w:t>F</w:t>
      </w:r>
      <w:r>
        <w:t>oundational knowledge</w:t>
      </w:r>
    </w:p>
    <w:p w14:paraId="524CA242" w14:textId="77777777" w:rsidR="00DB4331" w:rsidRDefault="00DB4331" w:rsidP="00250D77">
      <w:pPr>
        <w:pStyle w:val="ListParagraph"/>
        <w:numPr>
          <w:ilvl w:val="0"/>
          <w:numId w:val="49"/>
        </w:numPr>
      </w:pPr>
      <w:r w:rsidRPr="304EB8A7">
        <w:t>Introduce all teaching teams to the BLENNZ Expanded Core Curriculum (ECC)</w:t>
      </w:r>
    </w:p>
    <w:p w14:paraId="60F98CCD" w14:textId="77777777" w:rsidR="00DB4331" w:rsidRDefault="00DB4331" w:rsidP="00250D77">
      <w:pPr>
        <w:pStyle w:val="ListParagraph"/>
        <w:numPr>
          <w:ilvl w:val="0"/>
          <w:numId w:val="49"/>
        </w:numPr>
      </w:pPr>
      <w:r w:rsidRPr="3A4A0B62">
        <w:t xml:space="preserve">Develop and </w:t>
      </w:r>
      <w:r w:rsidRPr="44BFC9FA">
        <w:t xml:space="preserve">provide </w:t>
      </w:r>
      <w:r w:rsidRPr="4A540D6A">
        <w:t xml:space="preserve">initial training </w:t>
      </w:r>
      <w:r w:rsidRPr="36FDA5E0">
        <w:t>internally</w:t>
      </w:r>
      <w:r w:rsidRPr="304EB8A7">
        <w:t xml:space="preserve"> on </w:t>
      </w:r>
      <w:r>
        <w:t>BLENNZ</w:t>
      </w:r>
      <w:r w:rsidRPr="304EB8A7">
        <w:t xml:space="preserve"> ECC foundational skills, equity, and inclusion</w:t>
      </w:r>
    </w:p>
    <w:p w14:paraId="609B719B" w14:textId="77777777" w:rsidR="00DB4331" w:rsidRDefault="00DB4331" w:rsidP="00250D77">
      <w:pPr>
        <w:pStyle w:val="ListParagraph"/>
        <w:numPr>
          <w:ilvl w:val="0"/>
          <w:numId w:val="49"/>
        </w:numPr>
      </w:pPr>
      <w:r w:rsidRPr="304EB8A7">
        <w:t xml:space="preserve">Embed </w:t>
      </w:r>
      <w:r>
        <w:t>BLENNZ</w:t>
      </w:r>
      <w:r w:rsidRPr="304EB8A7">
        <w:t xml:space="preserve"> ECC into everyday teaching practices</w:t>
      </w:r>
      <w:r>
        <w:t xml:space="preserve">, encouraging </w:t>
      </w:r>
      <w:r w:rsidRPr="15AFCBBB">
        <w:t>consistency</w:t>
      </w:r>
      <w:r>
        <w:t xml:space="preserve"> of practice across all settings.</w:t>
      </w:r>
    </w:p>
    <w:p w14:paraId="46623F0B" w14:textId="77777777" w:rsidR="00DB4331" w:rsidRDefault="00DB4331" w:rsidP="00250D77">
      <w:pPr>
        <w:pStyle w:val="ListParagraph"/>
        <w:numPr>
          <w:ilvl w:val="0"/>
          <w:numId w:val="49"/>
        </w:numPr>
      </w:pPr>
      <w:r w:rsidRPr="7611E83C">
        <w:t xml:space="preserve">Begin to </w:t>
      </w:r>
      <w:r w:rsidRPr="7E469192">
        <w:t>create</w:t>
      </w:r>
      <w:r w:rsidRPr="304EB8A7">
        <w:t xml:space="preserve"> team spaces </w:t>
      </w:r>
      <w:r w:rsidRPr="03A09DF7">
        <w:t xml:space="preserve">in the seven </w:t>
      </w:r>
      <w:r>
        <w:t xml:space="preserve">BLENNZ </w:t>
      </w:r>
      <w:r w:rsidRPr="03A09DF7">
        <w:t xml:space="preserve">ECC areas </w:t>
      </w:r>
      <w:r w:rsidRPr="304EB8A7">
        <w:t>for sharing ideas and reflecting together</w:t>
      </w:r>
      <w:r>
        <w:t>.</w:t>
      </w:r>
    </w:p>
    <w:p w14:paraId="42196CE0" w14:textId="77777777" w:rsidR="00DB4331" w:rsidRDefault="00DB4331" w:rsidP="00250D77">
      <w:pPr>
        <w:pStyle w:val="ListParagraph"/>
        <w:numPr>
          <w:ilvl w:val="0"/>
          <w:numId w:val="49"/>
        </w:numPr>
      </w:pPr>
      <w:r w:rsidRPr="304EB8A7">
        <w:t xml:space="preserve">Focus on building confidence and capability in </w:t>
      </w:r>
      <w:r>
        <w:t xml:space="preserve">BLENNZ </w:t>
      </w:r>
      <w:r w:rsidRPr="304EB8A7">
        <w:t>ECC delivery</w:t>
      </w:r>
    </w:p>
    <w:p w14:paraId="562389BC" w14:textId="06981B9B" w:rsidR="00B438BF" w:rsidRPr="00DB4331" w:rsidRDefault="00DB4331" w:rsidP="00250D77">
      <w:pPr>
        <w:pStyle w:val="ListParagraph"/>
        <w:numPr>
          <w:ilvl w:val="0"/>
          <w:numId w:val="49"/>
        </w:numPr>
      </w:pPr>
      <w:r w:rsidRPr="304EB8A7">
        <w:t>Reporting to wh</w:t>
      </w:r>
      <w:r>
        <w:t>ā</w:t>
      </w:r>
      <w:r w:rsidRPr="304EB8A7">
        <w:t xml:space="preserve">nau </w:t>
      </w:r>
      <w:r w:rsidRPr="7ED8FB07">
        <w:t xml:space="preserve">and </w:t>
      </w:r>
      <w:r w:rsidRPr="3F7D5409">
        <w:t>teams</w:t>
      </w:r>
      <w:r w:rsidRPr="7ED8FB07">
        <w:t xml:space="preserve"> </w:t>
      </w:r>
      <w:r w:rsidRPr="304EB8A7">
        <w:t xml:space="preserve">includes evidence of </w:t>
      </w:r>
      <w:r>
        <w:t xml:space="preserve">BLENNZ </w:t>
      </w:r>
      <w:r w:rsidRPr="304EB8A7">
        <w:t>ECC</w:t>
      </w:r>
    </w:p>
    <w:p w14:paraId="1E382F89" w14:textId="3BAE56CF" w:rsidR="00DB5AAE" w:rsidRDefault="00DB5AAE" w:rsidP="00250D77">
      <w:pPr>
        <w:pStyle w:val="Heading4"/>
      </w:pPr>
      <w:r>
        <w:t>2027</w:t>
      </w:r>
    </w:p>
    <w:p w14:paraId="51B3D375" w14:textId="77777777" w:rsidR="00AC282B" w:rsidRDefault="00193106" w:rsidP="00DB5AAE">
      <w:r>
        <w:t>Continue building Foundational knowledge</w:t>
      </w:r>
    </w:p>
    <w:p w14:paraId="79847000" w14:textId="77777777" w:rsidR="00AC282B" w:rsidRDefault="00AC282B" w:rsidP="00250D77">
      <w:pPr>
        <w:pStyle w:val="ListParagraph"/>
        <w:numPr>
          <w:ilvl w:val="0"/>
          <w:numId w:val="50"/>
        </w:numPr>
      </w:pPr>
      <w:r w:rsidRPr="440A6B25">
        <w:t>RTV/DOM provide</w:t>
      </w:r>
      <w:r w:rsidRPr="655DFB22">
        <w:t xml:space="preserve"> training on </w:t>
      </w:r>
      <w:r>
        <w:t>BLENNZ</w:t>
      </w:r>
      <w:r w:rsidRPr="655DFB22">
        <w:t xml:space="preserve"> ECC foundational skills, equity, and inclusion</w:t>
      </w:r>
      <w:r w:rsidRPr="440A6B25">
        <w:t xml:space="preserve"> to external groups</w:t>
      </w:r>
    </w:p>
    <w:p w14:paraId="68C99C58" w14:textId="77777777" w:rsidR="00AC282B" w:rsidRDefault="00AC282B" w:rsidP="00250D77">
      <w:pPr>
        <w:pStyle w:val="ListParagraph"/>
        <w:numPr>
          <w:ilvl w:val="0"/>
          <w:numId w:val="50"/>
        </w:numPr>
      </w:pPr>
      <w:r w:rsidRPr="655DFB22">
        <w:t xml:space="preserve">Embedding </w:t>
      </w:r>
      <w:r>
        <w:t>BLENNZ</w:t>
      </w:r>
      <w:r w:rsidRPr="655DFB22">
        <w:t xml:space="preserve"> ECC into everyday teaching practices</w:t>
      </w:r>
    </w:p>
    <w:p w14:paraId="197FCEFD" w14:textId="77777777" w:rsidR="00AC282B" w:rsidRDefault="00AC282B" w:rsidP="00250D77">
      <w:pPr>
        <w:pStyle w:val="ListParagraph"/>
        <w:numPr>
          <w:ilvl w:val="0"/>
          <w:numId w:val="50"/>
        </w:numPr>
      </w:pPr>
      <w:r w:rsidRPr="543D349A">
        <w:t>Continue</w:t>
      </w:r>
      <w:r w:rsidRPr="48A215CF">
        <w:t xml:space="preserve"> to </w:t>
      </w:r>
      <w:r w:rsidRPr="543D349A">
        <w:t>develop and populate</w:t>
      </w:r>
      <w:r w:rsidRPr="655DFB22">
        <w:t xml:space="preserve"> team spaces for sharing ideas and reflecting</w:t>
      </w:r>
    </w:p>
    <w:p w14:paraId="57346C6B" w14:textId="77777777" w:rsidR="00AC282B" w:rsidRDefault="00AC282B" w:rsidP="00250D77">
      <w:pPr>
        <w:pStyle w:val="ListParagraph"/>
        <w:numPr>
          <w:ilvl w:val="0"/>
          <w:numId w:val="50"/>
        </w:numPr>
      </w:pPr>
      <w:r w:rsidRPr="655DFB22">
        <w:t>Encourage consistent teaching approaches across all settings</w:t>
      </w:r>
    </w:p>
    <w:p w14:paraId="1572122B" w14:textId="77777777" w:rsidR="00AC282B" w:rsidRDefault="00AC282B" w:rsidP="00250D77">
      <w:pPr>
        <w:pStyle w:val="ListParagraph"/>
        <w:numPr>
          <w:ilvl w:val="0"/>
          <w:numId w:val="50"/>
        </w:numPr>
      </w:pPr>
      <w:r w:rsidRPr="15FD17F1">
        <w:t>Continue to</w:t>
      </w:r>
      <w:r w:rsidRPr="655DFB22">
        <w:t xml:space="preserve"> </w:t>
      </w:r>
      <w:r w:rsidRPr="439C1896">
        <w:t>build</w:t>
      </w:r>
      <w:r w:rsidRPr="655DFB22">
        <w:t xml:space="preserve"> confidence and capability in </w:t>
      </w:r>
      <w:r>
        <w:t xml:space="preserve">BLENNZ </w:t>
      </w:r>
      <w:r w:rsidRPr="655DFB22">
        <w:t>ECC delivery</w:t>
      </w:r>
    </w:p>
    <w:p w14:paraId="50702691" w14:textId="0093F8B0" w:rsidR="00AC282B" w:rsidRPr="00AC282B" w:rsidRDefault="00AC282B" w:rsidP="00250D77">
      <w:pPr>
        <w:pStyle w:val="ListParagraph"/>
        <w:numPr>
          <w:ilvl w:val="0"/>
          <w:numId w:val="50"/>
        </w:numPr>
      </w:pPr>
      <w:r w:rsidRPr="00AC282B">
        <w:t xml:space="preserve">Reporting to whānau and teams includes evidence of BLENNZ </w:t>
      </w:r>
      <w:r>
        <w:t>E</w:t>
      </w:r>
      <w:r w:rsidRPr="00AC282B">
        <w:t>CC</w:t>
      </w:r>
    </w:p>
    <w:p w14:paraId="3621F535" w14:textId="777B568A" w:rsidR="00DB5AAE" w:rsidRDefault="00DB5AAE" w:rsidP="00250D77">
      <w:pPr>
        <w:pStyle w:val="Heading4"/>
      </w:pPr>
      <w:r>
        <w:t>2028</w:t>
      </w:r>
    </w:p>
    <w:p w14:paraId="26C363F2" w14:textId="0C25E1F1" w:rsidR="00193106" w:rsidRDefault="00193106" w:rsidP="00DB5AAE">
      <w:r>
        <w:t>Strengthen Expertise and Collaboration</w:t>
      </w:r>
    </w:p>
    <w:p w14:paraId="0A0CA058" w14:textId="77777777" w:rsidR="007E38BE" w:rsidRPr="002D5E96" w:rsidRDefault="007E38BE" w:rsidP="00250D77">
      <w:pPr>
        <w:pStyle w:val="ListParagraph"/>
        <w:numPr>
          <w:ilvl w:val="0"/>
          <w:numId w:val="52"/>
        </w:numPr>
      </w:pPr>
      <w:r w:rsidRPr="002D5E96">
        <w:t xml:space="preserve">Offer deeper professional learning focused on </w:t>
      </w:r>
      <w:r>
        <w:t xml:space="preserve">BLENNZ </w:t>
      </w:r>
      <w:r w:rsidRPr="002D5E96">
        <w:t>ECC internally and externally</w:t>
      </w:r>
    </w:p>
    <w:p w14:paraId="21700B50" w14:textId="77777777" w:rsidR="007E38BE" w:rsidRPr="007E38BE" w:rsidRDefault="007E38BE" w:rsidP="00250D77">
      <w:pPr>
        <w:pStyle w:val="ListParagraph"/>
        <w:numPr>
          <w:ilvl w:val="0"/>
          <w:numId w:val="52"/>
        </w:numPr>
      </w:pPr>
      <w:r w:rsidRPr="007E38BE">
        <w:t>Use evidence-based strategies and peer coaching to improve practice</w:t>
      </w:r>
    </w:p>
    <w:p w14:paraId="626ED081" w14:textId="77777777" w:rsidR="007E38BE" w:rsidRPr="007E38BE" w:rsidRDefault="007E38BE" w:rsidP="00250D77">
      <w:pPr>
        <w:pStyle w:val="ListParagraph"/>
        <w:numPr>
          <w:ilvl w:val="0"/>
          <w:numId w:val="52"/>
        </w:numPr>
      </w:pPr>
      <w:r w:rsidRPr="007E38BE">
        <w:lastRenderedPageBreak/>
        <w:t>Embed BLENNZ ECC intentionally across all learning phases</w:t>
      </w:r>
    </w:p>
    <w:p w14:paraId="5041D9E7" w14:textId="77777777" w:rsidR="007E38BE" w:rsidRPr="007E38BE" w:rsidRDefault="007E38BE" w:rsidP="00250D77">
      <w:pPr>
        <w:pStyle w:val="ListParagraph"/>
        <w:numPr>
          <w:ilvl w:val="0"/>
          <w:numId w:val="52"/>
        </w:numPr>
      </w:pPr>
      <w:r w:rsidRPr="007E38BE">
        <w:t>Promote collaboration between teams to share best practices</w:t>
      </w:r>
    </w:p>
    <w:p w14:paraId="0951421F" w14:textId="77777777" w:rsidR="007E38BE" w:rsidRPr="007E38BE" w:rsidRDefault="007E38BE" w:rsidP="00250D77">
      <w:pPr>
        <w:pStyle w:val="ListParagraph"/>
        <w:numPr>
          <w:ilvl w:val="0"/>
          <w:numId w:val="52"/>
        </w:numPr>
      </w:pPr>
      <w:r w:rsidRPr="007E38BE">
        <w:t>Use reflection to guide improvements</w:t>
      </w:r>
    </w:p>
    <w:p w14:paraId="0D625284" w14:textId="77777777" w:rsidR="007E38BE" w:rsidRPr="007E38BE" w:rsidRDefault="007E38BE" w:rsidP="00250D77">
      <w:pPr>
        <w:pStyle w:val="ListParagraph"/>
        <w:numPr>
          <w:ilvl w:val="0"/>
          <w:numId w:val="52"/>
        </w:numPr>
      </w:pPr>
      <w:r w:rsidRPr="007E38BE">
        <w:t>Empower ākonga through inclusive, responsive teaching</w:t>
      </w:r>
    </w:p>
    <w:p w14:paraId="10044EB9" w14:textId="77777777" w:rsidR="007E38BE" w:rsidRPr="007E38BE" w:rsidRDefault="007E38BE" w:rsidP="00250D77">
      <w:pPr>
        <w:pStyle w:val="ListParagraph"/>
        <w:numPr>
          <w:ilvl w:val="0"/>
          <w:numId w:val="52"/>
        </w:numPr>
        <w:rPr>
          <w:rFonts w:eastAsia="Arial"/>
        </w:rPr>
      </w:pPr>
      <w:r w:rsidRPr="007E38BE">
        <w:t xml:space="preserve">Build a culture of shared responsibility and continuous </w:t>
      </w:r>
      <w:r w:rsidRPr="007E38BE">
        <w:rPr>
          <w:rFonts w:eastAsia="Arial"/>
        </w:rPr>
        <w:t>growth</w:t>
      </w:r>
    </w:p>
    <w:p w14:paraId="5209FAAD" w14:textId="1F9CDF23" w:rsidR="00AC282B" w:rsidRPr="007E38BE" w:rsidRDefault="007E38BE" w:rsidP="00250D77">
      <w:pPr>
        <w:pStyle w:val="ListParagraph"/>
        <w:numPr>
          <w:ilvl w:val="0"/>
          <w:numId w:val="52"/>
        </w:numPr>
      </w:pPr>
      <w:r w:rsidRPr="007E38BE">
        <w:t>Reporting to whānau and teams is specific to BLENNZ ECC</w:t>
      </w:r>
    </w:p>
    <w:p w14:paraId="47D52538" w14:textId="0BD25B3B" w:rsidR="00DB5AAE" w:rsidRDefault="00DB5AAE" w:rsidP="00250D77">
      <w:pPr>
        <w:pStyle w:val="Heading4"/>
      </w:pPr>
      <w:r>
        <w:t>2029</w:t>
      </w:r>
    </w:p>
    <w:p w14:paraId="1A685731" w14:textId="4256DBC0" w:rsidR="00193106" w:rsidRDefault="00193106" w:rsidP="00DB5AAE">
      <w:r>
        <w:t>Sustain Excellence and Team Impact</w:t>
      </w:r>
    </w:p>
    <w:p w14:paraId="7C558091" w14:textId="77777777" w:rsidR="00643D10" w:rsidRPr="002D5E96" w:rsidRDefault="00643D10" w:rsidP="00250D77">
      <w:pPr>
        <w:pStyle w:val="ListParagraph"/>
        <w:numPr>
          <w:ilvl w:val="0"/>
          <w:numId w:val="54"/>
        </w:numPr>
      </w:pPr>
      <w:r>
        <w:t xml:space="preserve">BLENNZ </w:t>
      </w:r>
      <w:r w:rsidRPr="002D5E96">
        <w:t xml:space="preserve">ECC expertise </w:t>
      </w:r>
      <w:r w:rsidRPr="13A4D49E">
        <w:t xml:space="preserve">is </w:t>
      </w:r>
      <w:r w:rsidRPr="002D5E96">
        <w:t>a core part of RTV</w:t>
      </w:r>
      <w:r w:rsidRPr="2170A141">
        <w:t>/</w:t>
      </w:r>
      <w:r w:rsidRPr="183F68F1">
        <w:t>DOM</w:t>
      </w:r>
      <w:r w:rsidRPr="002D5E96">
        <w:t xml:space="preserve"> knowledge</w:t>
      </w:r>
    </w:p>
    <w:p w14:paraId="77322E83" w14:textId="77777777" w:rsidR="00643D10" w:rsidRPr="002D5E96" w:rsidRDefault="00643D10" w:rsidP="00250D77">
      <w:pPr>
        <w:pStyle w:val="ListParagraph"/>
        <w:numPr>
          <w:ilvl w:val="0"/>
          <w:numId w:val="54"/>
        </w:numPr>
      </w:pPr>
      <w:r w:rsidRPr="002D5E96">
        <w:t>Support advanced learning and leadership roles within teams</w:t>
      </w:r>
    </w:p>
    <w:p w14:paraId="5B2F50E6" w14:textId="77777777" w:rsidR="00643D10" w:rsidRPr="002D5E96" w:rsidRDefault="00643D10" w:rsidP="00250D77">
      <w:pPr>
        <w:pStyle w:val="ListParagraph"/>
        <w:numPr>
          <w:ilvl w:val="0"/>
          <w:numId w:val="54"/>
        </w:numPr>
      </w:pPr>
      <w:r w:rsidRPr="002D5E96">
        <w:t>Strengthen systems for planning, feedback, and innovation</w:t>
      </w:r>
    </w:p>
    <w:p w14:paraId="413F6464" w14:textId="77777777" w:rsidR="00643D10" w:rsidRPr="002D5E96" w:rsidRDefault="00643D10" w:rsidP="00250D77">
      <w:pPr>
        <w:pStyle w:val="ListParagraph"/>
        <w:numPr>
          <w:ilvl w:val="0"/>
          <w:numId w:val="54"/>
        </w:numPr>
      </w:pPr>
      <w:r w:rsidRPr="002D5E96">
        <w:t>Celebrate and share successful teaching practices</w:t>
      </w:r>
    </w:p>
    <w:p w14:paraId="37FB2C31" w14:textId="77777777" w:rsidR="00643D10" w:rsidRPr="002D5E96" w:rsidRDefault="00643D10" w:rsidP="00250D77">
      <w:pPr>
        <w:pStyle w:val="ListParagraph"/>
        <w:numPr>
          <w:ilvl w:val="0"/>
          <w:numId w:val="54"/>
        </w:numPr>
      </w:pPr>
      <w:r w:rsidRPr="002D5E96">
        <w:t>Ensure</w:t>
      </w:r>
      <w:r>
        <w:t xml:space="preserve"> BLENNZ</w:t>
      </w:r>
      <w:r w:rsidRPr="002D5E96">
        <w:t xml:space="preserve"> ECC is fully integrated across all learning environments</w:t>
      </w:r>
    </w:p>
    <w:p w14:paraId="39DB21CD" w14:textId="77777777" w:rsidR="00643D10" w:rsidRPr="002D5E96" w:rsidRDefault="00643D10" w:rsidP="00250D77">
      <w:pPr>
        <w:pStyle w:val="ListParagraph"/>
        <w:numPr>
          <w:ilvl w:val="0"/>
          <w:numId w:val="54"/>
        </w:numPr>
      </w:pPr>
      <w:r w:rsidRPr="002D5E96">
        <w:t>Adapt teaching to meet diverse needs confidently</w:t>
      </w:r>
    </w:p>
    <w:p w14:paraId="4CA54BB0" w14:textId="26AC92AF" w:rsidR="00643D10" w:rsidRPr="00193106" w:rsidRDefault="00643D10" w:rsidP="00250D77">
      <w:pPr>
        <w:pStyle w:val="ListParagraph"/>
        <w:numPr>
          <w:ilvl w:val="0"/>
          <w:numId w:val="54"/>
        </w:numPr>
        <w:rPr>
          <w:lang w:val="en-US"/>
        </w:rPr>
      </w:pPr>
      <w:r w:rsidRPr="002D5E96">
        <w:t>Maintain focus on equity, inclusion, and collective capability</w:t>
      </w:r>
    </w:p>
    <w:p w14:paraId="6F53927F" w14:textId="152F09EF" w:rsidR="00D57EE9" w:rsidRPr="008361D3" w:rsidRDefault="00652BC0" w:rsidP="008361D3">
      <w:pPr>
        <w:pStyle w:val="Heading3"/>
        <w:rPr>
          <w:lang w:val="en-GB"/>
        </w:rPr>
      </w:pPr>
      <w:r>
        <w:rPr>
          <w:lang w:val="en-GB"/>
        </w:rPr>
        <w:t>Goal 2A – Knowing BLENNZ (External</w:t>
      </w:r>
      <w:r w:rsidR="008361D3">
        <w:rPr>
          <w:lang w:val="en-GB"/>
        </w:rPr>
        <w:t xml:space="preserve">): </w:t>
      </w:r>
      <w:r w:rsidR="00D57EE9">
        <w:t>To build awareness, engagement and understanding of BLENNZ</w:t>
      </w:r>
    </w:p>
    <w:p w14:paraId="12104A25" w14:textId="77777777" w:rsidR="00DB5AAE" w:rsidRDefault="00DB5AAE" w:rsidP="00250D77">
      <w:pPr>
        <w:pStyle w:val="Heading4"/>
      </w:pPr>
      <w:r w:rsidRPr="00DB5AAE">
        <w:t>2026</w:t>
      </w:r>
    </w:p>
    <w:p w14:paraId="657511BC" w14:textId="0FAD6CBD" w:rsidR="00F669BD" w:rsidRDefault="00F669BD" w:rsidP="00DB5AAE">
      <w:pPr>
        <w:rPr>
          <w:b/>
          <w:bCs/>
        </w:rPr>
      </w:pPr>
      <w:r>
        <w:rPr>
          <w:b/>
          <w:bCs/>
        </w:rPr>
        <w:t>Who are we engaging with?</w:t>
      </w:r>
    </w:p>
    <w:p w14:paraId="5FF37068" w14:textId="77777777" w:rsidR="00F75318" w:rsidRDefault="00F75318" w:rsidP="00250D77">
      <w:pPr>
        <w:pStyle w:val="ListParagraph"/>
        <w:numPr>
          <w:ilvl w:val="0"/>
          <w:numId w:val="57"/>
        </w:numPr>
      </w:pPr>
      <w:r>
        <w:t>Parents of Vision Impaired (PVI)</w:t>
      </w:r>
    </w:p>
    <w:p w14:paraId="53508D83" w14:textId="580B4718" w:rsidR="00D42B8B" w:rsidRDefault="00D42B8B" w:rsidP="00250D77">
      <w:pPr>
        <w:pStyle w:val="ListParagraph"/>
        <w:numPr>
          <w:ilvl w:val="0"/>
          <w:numId w:val="57"/>
        </w:numPr>
      </w:pPr>
      <w:r>
        <w:t>Massey University</w:t>
      </w:r>
    </w:p>
    <w:p w14:paraId="4FDA16C6" w14:textId="014E85FB" w:rsidR="00D42B8B" w:rsidRDefault="00D42B8B" w:rsidP="00250D77">
      <w:pPr>
        <w:pStyle w:val="ListParagraph"/>
        <w:numPr>
          <w:ilvl w:val="0"/>
          <w:numId w:val="57"/>
        </w:numPr>
      </w:pPr>
      <w:r>
        <w:t>BLVNZ</w:t>
      </w:r>
    </w:p>
    <w:p w14:paraId="2F977163" w14:textId="6912B708" w:rsidR="00D42B8B" w:rsidRDefault="00D42B8B" w:rsidP="00250D77">
      <w:pPr>
        <w:pStyle w:val="ListParagraph"/>
        <w:numPr>
          <w:ilvl w:val="0"/>
          <w:numId w:val="57"/>
        </w:numPr>
      </w:pPr>
      <w:r>
        <w:t>Whānau</w:t>
      </w:r>
    </w:p>
    <w:p w14:paraId="7F0784C0" w14:textId="2B0FE926" w:rsidR="00F669BD" w:rsidRDefault="00F669BD" w:rsidP="00DB5AAE">
      <w:pPr>
        <w:rPr>
          <w:b/>
          <w:bCs/>
        </w:rPr>
      </w:pPr>
      <w:r>
        <w:rPr>
          <w:b/>
          <w:bCs/>
        </w:rPr>
        <w:t>Focus areas</w:t>
      </w:r>
    </w:p>
    <w:p w14:paraId="4193FE10" w14:textId="77777777" w:rsidR="002F0509" w:rsidRDefault="002F0509" w:rsidP="00250D77">
      <w:pPr>
        <w:pStyle w:val="ListParagraph"/>
        <w:numPr>
          <w:ilvl w:val="0"/>
          <w:numId w:val="68"/>
        </w:numPr>
      </w:pPr>
      <w:r>
        <w:t>Help stakeholders understand what BLENNZ does – structure, roles, services, criteria, etc.</w:t>
      </w:r>
    </w:p>
    <w:p w14:paraId="6586747E" w14:textId="77777777" w:rsidR="002F0509" w:rsidRDefault="002F0509" w:rsidP="00250D77">
      <w:pPr>
        <w:pStyle w:val="ListParagraph"/>
        <w:numPr>
          <w:ilvl w:val="0"/>
          <w:numId w:val="68"/>
        </w:numPr>
      </w:pPr>
      <w:r>
        <w:t>Improve understanding of referral and enrolment processes</w:t>
      </w:r>
    </w:p>
    <w:p w14:paraId="5F0AEF87" w14:textId="722FE6F4" w:rsidR="002F0509" w:rsidRPr="002F0509" w:rsidRDefault="002F0509" w:rsidP="00250D77">
      <w:pPr>
        <w:pStyle w:val="ListParagraph"/>
        <w:numPr>
          <w:ilvl w:val="0"/>
          <w:numId w:val="68"/>
        </w:numPr>
        <w:rPr>
          <w:b/>
          <w:bCs/>
        </w:rPr>
      </w:pPr>
      <w:r>
        <w:t>Strengthening relationships</w:t>
      </w:r>
    </w:p>
    <w:p w14:paraId="15F936E0" w14:textId="77777777" w:rsidR="00DB5AAE" w:rsidRDefault="00DB5AAE" w:rsidP="00250D77">
      <w:pPr>
        <w:pStyle w:val="Heading4"/>
      </w:pPr>
      <w:r>
        <w:t>2027</w:t>
      </w:r>
    </w:p>
    <w:p w14:paraId="26354768" w14:textId="77777777" w:rsidR="00F669BD" w:rsidRDefault="00F669BD" w:rsidP="00F669BD">
      <w:pPr>
        <w:rPr>
          <w:b/>
          <w:bCs/>
        </w:rPr>
      </w:pPr>
      <w:r>
        <w:rPr>
          <w:b/>
          <w:bCs/>
        </w:rPr>
        <w:t>Who are we engaging with?</w:t>
      </w:r>
    </w:p>
    <w:p w14:paraId="3290617D" w14:textId="77777777" w:rsidR="00782230" w:rsidRDefault="00782230" w:rsidP="00250D77">
      <w:pPr>
        <w:pStyle w:val="ListParagraph"/>
        <w:numPr>
          <w:ilvl w:val="0"/>
          <w:numId w:val="65"/>
        </w:numPr>
      </w:pPr>
      <w:r>
        <w:t>Kāpō Māori</w:t>
      </w:r>
    </w:p>
    <w:p w14:paraId="67F8D399" w14:textId="77777777" w:rsidR="00782230" w:rsidRDefault="00782230" w:rsidP="00250D77">
      <w:pPr>
        <w:pStyle w:val="ListParagraph"/>
        <w:numPr>
          <w:ilvl w:val="0"/>
          <w:numId w:val="65"/>
        </w:numPr>
      </w:pPr>
      <w:r>
        <w:lastRenderedPageBreak/>
        <w:t>Blind Citizens</w:t>
      </w:r>
    </w:p>
    <w:p w14:paraId="4FDA7098" w14:textId="77777777" w:rsidR="00782230" w:rsidRDefault="00782230" w:rsidP="00250D77">
      <w:pPr>
        <w:pStyle w:val="ListParagraph"/>
        <w:numPr>
          <w:ilvl w:val="0"/>
          <w:numId w:val="65"/>
        </w:numPr>
      </w:pPr>
      <w:r>
        <w:t>Te Whatu Ora</w:t>
      </w:r>
    </w:p>
    <w:p w14:paraId="0A1E5329" w14:textId="77777777" w:rsidR="00782230" w:rsidRPr="00250D77" w:rsidRDefault="00782230" w:rsidP="00A574F9">
      <w:pPr>
        <w:rPr>
          <w:b/>
          <w:bCs/>
          <w:szCs w:val="24"/>
        </w:rPr>
      </w:pPr>
      <w:r w:rsidRPr="00250D77">
        <w:rPr>
          <w:b/>
          <w:bCs/>
          <w:szCs w:val="24"/>
        </w:rPr>
        <w:t xml:space="preserve">(ongoing) </w:t>
      </w:r>
    </w:p>
    <w:p w14:paraId="4868FA80" w14:textId="77777777" w:rsidR="00782230" w:rsidRDefault="00782230" w:rsidP="00250D77">
      <w:pPr>
        <w:pStyle w:val="ListParagraph"/>
        <w:numPr>
          <w:ilvl w:val="0"/>
          <w:numId w:val="66"/>
        </w:numPr>
      </w:pPr>
      <w:r>
        <w:t>Ministry of Education</w:t>
      </w:r>
    </w:p>
    <w:p w14:paraId="7E5ED996" w14:textId="77777777" w:rsidR="00782230" w:rsidRDefault="00782230" w:rsidP="00250D77">
      <w:pPr>
        <w:pStyle w:val="ListParagraph"/>
        <w:numPr>
          <w:ilvl w:val="0"/>
          <w:numId w:val="66"/>
        </w:numPr>
      </w:pPr>
      <w:r>
        <w:t>Mainstream education settings</w:t>
      </w:r>
    </w:p>
    <w:p w14:paraId="642AFEC2" w14:textId="7AD6D0E7" w:rsidR="00D42B8B" w:rsidRDefault="00D42B8B" w:rsidP="00250D77">
      <w:pPr>
        <w:pStyle w:val="ListParagraph"/>
        <w:numPr>
          <w:ilvl w:val="0"/>
          <w:numId w:val="66"/>
        </w:numPr>
      </w:pPr>
      <w:r>
        <w:t>Early Childhood Centres</w:t>
      </w:r>
    </w:p>
    <w:p w14:paraId="09AFA66D" w14:textId="43C5BC58" w:rsidR="00782230" w:rsidRPr="00782230" w:rsidRDefault="00782230" w:rsidP="00250D77">
      <w:pPr>
        <w:pStyle w:val="ListParagraph"/>
        <w:numPr>
          <w:ilvl w:val="0"/>
          <w:numId w:val="66"/>
        </w:numPr>
      </w:pPr>
      <w:r>
        <w:t>Whānau</w:t>
      </w:r>
    </w:p>
    <w:p w14:paraId="6AADBCEA" w14:textId="7AE3BC9A" w:rsidR="00F669BD" w:rsidRDefault="00F669BD" w:rsidP="00DB5AAE">
      <w:pPr>
        <w:rPr>
          <w:b/>
          <w:bCs/>
        </w:rPr>
      </w:pPr>
      <w:r>
        <w:rPr>
          <w:b/>
          <w:bCs/>
        </w:rPr>
        <w:t>Focus areas</w:t>
      </w:r>
    </w:p>
    <w:p w14:paraId="09D9E096" w14:textId="77777777" w:rsidR="003E6293" w:rsidRDefault="003E6293" w:rsidP="00250D77">
      <w:pPr>
        <w:pStyle w:val="ListParagraph"/>
        <w:numPr>
          <w:ilvl w:val="0"/>
          <w:numId w:val="69"/>
        </w:numPr>
      </w:pPr>
      <w:r>
        <w:t>Develop understanding of service delivery categories</w:t>
      </w:r>
    </w:p>
    <w:p w14:paraId="1133C359" w14:textId="06899743" w:rsidR="003E6293" w:rsidRPr="003E6293" w:rsidRDefault="003E6293" w:rsidP="00250D77">
      <w:pPr>
        <w:pStyle w:val="ListParagraph"/>
        <w:numPr>
          <w:ilvl w:val="0"/>
          <w:numId w:val="69"/>
        </w:numPr>
        <w:rPr>
          <w:b/>
          <w:bCs/>
        </w:rPr>
      </w:pPr>
      <w:r>
        <w:t>Improve understanding of BLENNZ specialist services across the network</w:t>
      </w:r>
    </w:p>
    <w:p w14:paraId="14BAE327" w14:textId="77777777" w:rsidR="00DB5AAE" w:rsidRDefault="00DB5AAE" w:rsidP="00250D77">
      <w:pPr>
        <w:pStyle w:val="Heading4"/>
      </w:pPr>
      <w:r>
        <w:t>2028</w:t>
      </w:r>
    </w:p>
    <w:p w14:paraId="0DC75B5B" w14:textId="77777777" w:rsidR="00F669BD" w:rsidRDefault="00F669BD" w:rsidP="00F669BD">
      <w:pPr>
        <w:rPr>
          <w:b/>
          <w:bCs/>
        </w:rPr>
      </w:pPr>
      <w:r>
        <w:rPr>
          <w:b/>
          <w:bCs/>
        </w:rPr>
        <w:t>Who are we engaging with?</w:t>
      </w:r>
    </w:p>
    <w:p w14:paraId="5BCEB311" w14:textId="77777777" w:rsidR="004032B4" w:rsidRDefault="004032B4" w:rsidP="00250D77">
      <w:pPr>
        <w:pStyle w:val="ListParagraph"/>
        <w:numPr>
          <w:ilvl w:val="0"/>
          <w:numId w:val="63"/>
        </w:numPr>
      </w:pPr>
      <w:r>
        <w:t>Special Character Schools</w:t>
      </w:r>
    </w:p>
    <w:p w14:paraId="23B87C74" w14:textId="77777777" w:rsidR="004032B4" w:rsidRDefault="004032B4" w:rsidP="00250D77">
      <w:pPr>
        <w:pStyle w:val="ListParagraph"/>
        <w:numPr>
          <w:ilvl w:val="0"/>
          <w:numId w:val="63"/>
        </w:numPr>
      </w:pPr>
      <w:r>
        <w:t>Early Childhood Centres</w:t>
      </w:r>
    </w:p>
    <w:p w14:paraId="778B297B" w14:textId="77777777" w:rsidR="004032B4" w:rsidRDefault="004032B4" w:rsidP="00250D77">
      <w:pPr>
        <w:pStyle w:val="ListParagraph"/>
        <w:numPr>
          <w:ilvl w:val="0"/>
          <w:numId w:val="63"/>
        </w:numPr>
      </w:pPr>
      <w:r>
        <w:t>Community services</w:t>
      </w:r>
    </w:p>
    <w:p w14:paraId="30C34E7E" w14:textId="77777777" w:rsidR="004032B4" w:rsidRPr="00250D77" w:rsidRDefault="004032B4" w:rsidP="00A72A96">
      <w:pPr>
        <w:rPr>
          <w:b/>
          <w:bCs/>
          <w:szCs w:val="24"/>
        </w:rPr>
      </w:pPr>
      <w:r w:rsidRPr="00250D77">
        <w:rPr>
          <w:b/>
          <w:bCs/>
          <w:szCs w:val="24"/>
        </w:rPr>
        <w:t xml:space="preserve">(ongoing) </w:t>
      </w:r>
    </w:p>
    <w:p w14:paraId="4FA70686" w14:textId="77777777" w:rsidR="004032B4" w:rsidRPr="00A72A96" w:rsidRDefault="004032B4" w:rsidP="00250D77">
      <w:pPr>
        <w:pStyle w:val="ListParagraph"/>
        <w:numPr>
          <w:ilvl w:val="0"/>
          <w:numId w:val="64"/>
        </w:numPr>
        <w:rPr>
          <w:szCs w:val="24"/>
        </w:rPr>
      </w:pPr>
      <w:r>
        <w:t>Ministry of Education</w:t>
      </w:r>
    </w:p>
    <w:p w14:paraId="55B218D9" w14:textId="77777777" w:rsidR="004032B4" w:rsidRPr="00A72A96" w:rsidRDefault="004032B4" w:rsidP="00250D77">
      <w:pPr>
        <w:pStyle w:val="ListParagraph"/>
        <w:numPr>
          <w:ilvl w:val="0"/>
          <w:numId w:val="64"/>
        </w:numPr>
        <w:rPr>
          <w:szCs w:val="24"/>
        </w:rPr>
      </w:pPr>
      <w:r>
        <w:t>Mainstream education settings</w:t>
      </w:r>
    </w:p>
    <w:p w14:paraId="50A16C90" w14:textId="531846DE" w:rsidR="004032B4" w:rsidRPr="00A72A96" w:rsidRDefault="004032B4" w:rsidP="00250D77">
      <w:pPr>
        <w:pStyle w:val="ListParagraph"/>
        <w:numPr>
          <w:ilvl w:val="0"/>
          <w:numId w:val="64"/>
        </w:numPr>
        <w:rPr>
          <w:szCs w:val="24"/>
        </w:rPr>
      </w:pPr>
      <w:r>
        <w:t>Whānau</w:t>
      </w:r>
    </w:p>
    <w:p w14:paraId="34086BD4" w14:textId="77777777" w:rsidR="00F669BD" w:rsidRDefault="00F669BD" w:rsidP="00F669BD">
      <w:pPr>
        <w:rPr>
          <w:b/>
          <w:bCs/>
        </w:rPr>
      </w:pPr>
      <w:r>
        <w:rPr>
          <w:b/>
          <w:bCs/>
        </w:rPr>
        <w:t>Focus areas</w:t>
      </w:r>
    </w:p>
    <w:p w14:paraId="2254664F" w14:textId="70D6B5A4" w:rsidR="00111F09" w:rsidRDefault="00111F09" w:rsidP="00250D77">
      <w:pPr>
        <w:pStyle w:val="ListParagraph"/>
      </w:pPr>
      <w:r>
        <w:t>Service delivery</w:t>
      </w:r>
    </w:p>
    <w:p w14:paraId="326DF344" w14:textId="144CCAF5" w:rsidR="00111F09" w:rsidRPr="00111F09" w:rsidRDefault="00111F09" w:rsidP="00250D77">
      <w:pPr>
        <w:pStyle w:val="ListParagraph"/>
      </w:pPr>
      <w:r>
        <w:t>Transitions</w:t>
      </w:r>
    </w:p>
    <w:p w14:paraId="40C649F6" w14:textId="60A91659" w:rsidR="00DB5AAE" w:rsidRDefault="00DB5AAE" w:rsidP="00250D77">
      <w:pPr>
        <w:pStyle w:val="Heading4"/>
      </w:pPr>
      <w:r>
        <w:t>2029</w:t>
      </w:r>
    </w:p>
    <w:p w14:paraId="63D98BC8" w14:textId="77777777" w:rsidR="00F669BD" w:rsidRDefault="00F669BD" w:rsidP="00F669BD">
      <w:pPr>
        <w:rPr>
          <w:b/>
          <w:bCs/>
        </w:rPr>
      </w:pPr>
      <w:r>
        <w:rPr>
          <w:b/>
          <w:bCs/>
        </w:rPr>
        <w:t>Who are we engaging with?</w:t>
      </w:r>
    </w:p>
    <w:p w14:paraId="5F8AC0A4" w14:textId="77777777" w:rsidR="00A72A96" w:rsidRDefault="00A72A96" w:rsidP="00250D77">
      <w:pPr>
        <w:pStyle w:val="ListParagraph"/>
      </w:pPr>
      <w:r>
        <w:t>Deafblind Association NZ</w:t>
      </w:r>
    </w:p>
    <w:p w14:paraId="690D43F8" w14:textId="77777777" w:rsidR="00A72A96" w:rsidRPr="00250D77" w:rsidRDefault="00A72A96" w:rsidP="00A72A96">
      <w:pPr>
        <w:rPr>
          <w:b/>
          <w:bCs/>
          <w:szCs w:val="24"/>
        </w:rPr>
      </w:pPr>
      <w:r w:rsidRPr="00250D77">
        <w:rPr>
          <w:b/>
          <w:bCs/>
          <w:szCs w:val="24"/>
        </w:rPr>
        <w:t xml:space="preserve">(ongoing) </w:t>
      </w:r>
    </w:p>
    <w:p w14:paraId="3CF56C9E" w14:textId="77777777" w:rsidR="00A72A96" w:rsidRDefault="00A72A96" w:rsidP="00250D77">
      <w:pPr>
        <w:pStyle w:val="ListParagraph"/>
        <w:numPr>
          <w:ilvl w:val="0"/>
          <w:numId w:val="62"/>
        </w:numPr>
      </w:pPr>
      <w:r>
        <w:t>Ministry of Education</w:t>
      </w:r>
    </w:p>
    <w:p w14:paraId="2E54B5FA" w14:textId="77777777" w:rsidR="00A72A96" w:rsidRDefault="00A72A96" w:rsidP="00250D77">
      <w:pPr>
        <w:pStyle w:val="ListParagraph"/>
        <w:numPr>
          <w:ilvl w:val="0"/>
          <w:numId w:val="62"/>
        </w:numPr>
      </w:pPr>
      <w:r>
        <w:t>Mainstream education settings</w:t>
      </w:r>
    </w:p>
    <w:p w14:paraId="4827C048" w14:textId="6E3D3299" w:rsidR="00D42B8B" w:rsidRDefault="00D42B8B" w:rsidP="00250D77">
      <w:pPr>
        <w:pStyle w:val="ListParagraph"/>
        <w:numPr>
          <w:ilvl w:val="0"/>
          <w:numId w:val="62"/>
        </w:numPr>
      </w:pPr>
      <w:r>
        <w:t>Early Childhood Centres</w:t>
      </w:r>
    </w:p>
    <w:p w14:paraId="415E907B" w14:textId="64BB7427" w:rsidR="00F669BD" w:rsidRPr="00D36FC3" w:rsidRDefault="00A72A96" w:rsidP="00250D77">
      <w:pPr>
        <w:pStyle w:val="ListParagraph"/>
        <w:numPr>
          <w:ilvl w:val="0"/>
          <w:numId w:val="62"/>
        </w:numPr>
      </w:pPr>
      <w:r>
        <w:lastRenderedPageBreak/>
        <w:t>Whānau</w:t>
      </w:r>
    </w:p>
    <w:p w14:paraId="2A515A12" w14:textId="5505E100" w:rsidR="00D57EE9" w:rsidRPr="008361D3" w:rsidRDefault="00652BC0" w:rsidP="008361D3">
      <w:pPr>
        <w:pStyle w:val="Heading3"/>
        <w:rPr>
          <w:lang w:val="en-GB"/>
        </w:rPr>
      </w:pPr>
      <w:r>
        <w:rPr>
          <w:lang w:val="en-GB"/>
        </w:rPr>
        <w:t>Goal 2B – Knowing BLENNZ (Internal)</w:t>
      </w:r>
      <w:r w:rsidR="008361D3">
        <w:rPr>
          <w:lang w:val="en-GB"/>
        </w:rPr>
        <w:t>: T</w:t>
      </w:r>
      <w:r w:rsidR="00CA4800">
        <w:t>o build awareness, engagement and understanding of BLENNZ</w:t>
      </w:r>
    </w:p>
    <w:p w14:paraId="35DB8B97" w14:textId="77777777" w:rsidR="00DB5AAE" w:rsidRDefault="00DB5AAE" w:rsidP="00250D77">
      <w:pPr>
        <w:pStyle w:val="Heading4"/>
      </w:pPr>
      <w:r w:rsidRPr="00DB5AAE">
        <w:t>2026</w:t>
      </w:r>
    </w:p>
    <w:p w14:paraId="6CE7950C" w14:textId="104E8ADF" w:rsidR="00CA0043" w:rsidRDefault="00CA0043" w:rsidP="00DB5AAE">
      <w:pPr>
        <w:rPr>
          <w:b/>
          <w:bCs/>
        </w:rPr>
      </w:pPr>
      <w:r>
        <w:rPr>
          <w:b/>
          <w:bCs/>
        </w:rPr>
        <w:t>Focus areas:</w:t>
      </w:r>
    </w:p>
    <w:p w14:paraId="6ED5BE23" w14:textId="77777777" w:rsidR="001979D8" w:rsidRDefault="001979D8" w:rsidP="00250D77">
      <w:pPr>
        <w:pStyle w:val="ListParagraph"/>
      </w:pPr>
      <w:r>
        <w:t xml:space="preserve">Clear understanding of referral process and enrolment criteria </w:t>
      </w:r>
    </w:p>
    <w:p w14:paraId="18EC4359" w14:textId="77777777" w:rsidR="001979D8" w:rsidRDefault="001979D8" w:rsidP="00250D77">
      <w:pPr>
        <w:pStyle w:val="ListParagraph"/>
      </w:pPr>
      <w:r>
        <w:t>Understanding of Regional, National and School services delivery</w:t>
      </w:r>
    </w:p>
    <w:p w14:paraId="5170C8D7" w14:textId="75F673AD" w:rsidR="001979D8" w:rsidRPr="001979D8" w:rsidRDefault="001979D8" w:rsidP="00250D77">
      <w:pPr>
        <w:pStyle w:val="ListParagraph"/>
      </w:pPr>
      <w:r>
        <w:t xml:space="preserve">Understanding of teaching standards documentation. </w:t>
      </w:r>
    </w:p>
    <w:p w14:paraId="3D69A12D" w14:textId="66412DCD" w:rsidR="00CA0043" w:rsidRDefault="00CA0043" w:rsidP="00DB5AAE">
      <w:pPr>
        <w:rPr>
          <w:b/>
          <w:bCs/>
        </w:rPr>
      </w:pPr>
      <w:r>
        <w:rPr>
          <w:b/>
          <w:bCs/>
        </w:rPr>
        <w:t>Professional responsibility including:</w:t>
      </w:r>
    </w:p>
    <w:p w14:paraId="51B53A61" w14:textId="77777777" w:rsidR="005E7798" w:rsidRDefault="005E7798" w:rsidP="00250D77">
      <w:pPr>
        <w:pStyle w:val="ListParagraph"/>
      </w:pPr>
      <w:r>
        <w:t>Professional Growth Cycle/Job Description for non-teaching staff.</w:t>
      </w:r>
    </w:p>
    <w:p w14:paraId="364A0BD8" w14:textId="308D7E12" w:rsidR="005E7798" w:rsidRDefault="005E7798" w:rsidP="00250D77">
      <w:pPr>
        <w:pStyle w:val="ListParagraph"/>
        <w:rPr>
          <w:b/>
          <w:bCs/>
        </w:rPr>
      </w:pPr>
      <w:r>
        <w:t>Health, Safety and Wellbeing practices for all.</w:t>
      </w:r>
    </w:p>
    <w:p w14:paraId="4E0ED819" w14:textId="6056F5A1" w:rsidR="00594D84" w:rsidRDefault="00594D84" w:rsidP="00DB5AAE">
      <w:pPr>
        <w:rPr>
          <w:b/>
          <w:bCs/>
        </w:rPr>
      </w:pPr>
      <w:r>
        <w:rPr>
          <w:b/>
          <w:bCs/>
        </w:rPr>
        <w:t>Employment requirements</w:t>
      </w:r>
    </w:p>
    <w:p w14:paraId="48449290" w14:textId="77777777" w:rsidR="00675F94" w:rsidRDefault="00675F94" w:rsidP="00250D77">
      <w:pPr>
        <w:pStyle w:val="ListParagraph"/>
      </w:pPr>
      <w:r>
        <w:t>Teacher registration, employment documentation and procedures.</w:t>
      </w:r>
    </w:p>
    <w:p w14:paraId="1FCAF5CE" w14:textId="09B77708" w:rsidR="00675F94" w:rsidRDefault="00675F94" w:rsidP="00250D77">
      <w:pPr>
        <w:pStyle w:val="ListParagraph"/>
        <w:rPr>
          <w:b/>
          <w:bCs/>
        </w:rPr>
      </w:pPr>
      <w:r>
        <w:t>Sharing and initiating safety checking process.</w:t>
      </w:r>
    </w:p>
    <w:p w14:paraId="4286DF05" w14:textId="77777777" w:rsidR="00DB5AAE" w:rsidRDefault="00DB5AAE" w:rsidP="00250D77">
      <w:pPr>
        <w:pStyle w:val="Heading4"/>
      </w:pPr>
      <w:r>
        <w:t>2027</w:t>
      </w:r>
    </w:p>
    <w:p w14:paraId="5AD855DF" w14:textId="77777777" w:rsidR="00371884" w:rsidRPr="00371884" w:rsidRDefault="00371884" w:rsidP="00371884">
      <w:pPr>
        <w:rPr>
          <w:b/>
          <w:bCs/>
        </w:rPr>
      </w:pPr>
      <w:r w:rsidRPr="00371884">
        <w:rPr>
          <w:b/>
          <w:bCs/>
        </w:rPr>
        <w:t>Focus areas:</w:t>
      </w:r>
    </w:p>
    <w:p w14:paraId="3863307E" w14:textId="77777777" w:rsidR="00371884" w:rsidRDefault="00371884" w:rsidP="00250D77">
      <w:pPr>
        <w:pStyle w:val="ListParagraph"/>
      </w:pPr>
      <w:r>
        <w:t>Develop understanding of service delivery categories</w:t>
      </w:r>
    </w:p>
    <w:p w14:paraId="50481B81" w14:textId="77777777" w:rsidR="00371884" w:rsidRDefault="00371884" w:rsidP="00250D77">
      <w:pPr>
        <w:pStyle w:val="ListParagraph"/>
      </w:pPr>
      <w:r>
        <w:t>Improve understanding of BLENNZ specialist services across the network</w:t>
      </w:r>
    </w:p>
    <w:p w14:paraId="24B1C5A7" w14:textId="05110E98" w:rsidR="00371884" w:rsidRDefault="00371884" w:rsidP="00250D77">
      <w:pPr>
        <w:pStyle w:val="ListParagraph"/>
      </w:pPr>
      <w:r>
        <w:t>Continue to embed understanding of service delivery required documentation</w:t>
      </w:r>
    </w:p>
    <w:p w14:paraId="52F86239" w14:textId="77777777" w:rsidR="00371884" w:rsidRPr="00371884" w:rsidRDefault="00371884" w:rsidP="00371884">
      <w:pPr>
        <w:rPr>
          <w:b/>
          <w:bCs/>
        </w:rPr>
      </w:pPr>
      <w:r w:rsidRPr="00371884">
        <w:rPr>
          <w:b/>
          <w:bCs/>
        </w:rPr>
        <w:t>Professional responsibility including</w:t>
      </w:r>
    </w:p>
    <w:p w14:paraId="40944440" w14:textId="5D1F4269" w:rsidR="00371884" w:rsidRDefault="00371884" w:rsidP="00250D77">
      <w:pPr>
        <w:pStyle w:val="ListParagraph"/>
      </w:pPr>
      <w:r>
        <w:t>Education Outside the Classroom (EOTC) processes and documentation is understood and followed</w:t>
      </w:r>
    </w:p>
    <w:p w14:paraId="130B19C7" w14:textId="77777777" w:rsidR="00371884" w:rsidRPr="00371884" w:rsidRDefault="00371884" w:rsidP="00371884">
      <w:pPr>
        <w:rPr>
          <w:b/>
          <w:bCs/>
        </w:rPr>
      </w:pPr>
      <w:r w:rsidRPr="00371884">
        <w:rPr>
          <w:b/>
          <w:bCs/>
        </w:rPr>
        <w:t>Employment requirements:</w:t>
      </w:r>
    </w:p>
    <w:p w14:paraId="2BE8A88F" w14:textId="77777777" w:rsidR="00371884" w:rsidRDefault="00371884" w:rsidP="00250D77">
      <w:pPr>
        <w:pStyle w:val="ListParagraph"/>
      </w:pPr>
      <w:r>
        <w:t>Implement safety checking process</w:t>
      </w:r>
    </w:p>
    <w:p w14:paraId="7DF970A9" w14:textId="77777777" w:rsidR="00371884" w:rsidRDefault="00371884" w:rsidP="00250D77">
      <w:pPr>
        <w:pStyle w:val="ListParagraph"/>
      </w:pPr>
      <w:r>
        <w:t>Embedding the revised Teaching Standards</w:t>
      </w:r>
    </w:p>
    <w:p w14:paraId="4B26A160" w14:textId="50E861B6" w:rsidR="00DB5AAE" w:rsidRDefault="00DB5AAE" w:rsidP="00371884">
      <w:pPr>
        <w:rPr>
          <w:b/>
          <w:bCs/>
        </w:rPr>
      </w:pPr>
      <w:r>
        <w:rPr>
          <w:b/>
          <w:bCs/>
        </w:rPr>
        <w:t>2028</w:t>
      </w:r>
    </w:p>
    <w:p w14:paraId="4D7CC74C" w14:textId="7F68EA95" w:rsidR="002C38E0" w:rsidRDefault="00CA0043" w:rsidP="00CA0043">
      <w:pPr>
        <w:rPr>
          <w:b/>
          <w:bCs/>
        </w:rPr>
      </w:pPr>
      <w:r>
        <w:rPr>
          <w:b/>
          <w:bCs/>
        </w:rPr>
        <w:t>Focus areas:</w:t>
      </w:r>
    </w:p>
    <w:p w14:paraId="49D66935" w14:textId="45D77A72" w:rsidR="002C38E0" w:rsidRPr="002C38E0" w:rsidRDefault="002C38E0" w:rsidP="00250D77">
      <w:pPr>
        <w:pStyle w:val="ListParagraph"/>
      </w:pPr>
      <w:r>
        <w:lastRenderedPageBreak/>
        <w:t>Service delivery and required documentation</w:t>
      </w:r>
    </w:p>
    <w:p w14:paraId="1774EDE2" w14:textId="356DC9B6" w:rsidR="00CA0043" w:rsidRDefault="00CA0043" w:rsidP="00CA0043">
      <w:pPr>
        <w:rPr>
          <w:b/>
          <w:bCs/>
        </w:rPr>
      </w:pPr>
      <w:r>
        <w:rPr>
          <w:b/>
          <w:bCs/>
        </w:rPr>
        <w:t>Professional responsibility including:</w:t>
      </w:r>
    </w:p>
    <w:p w14:paraId="5A1570BD" w14:textId="2E1910E4" w:rsidR="002C38E0" w:rsidRDefault="00B11E05" w:rsidP="00250D77">
      <w:pPr>
        <w:pStyle w:val="ListParagraph"/>
      </w:pPr>
      <w:r>
        <w:t>PGC for all reviewed</w:t>
      </w:r>
    </w:p>
    <w:p w14:paraId="2D85288A" w14:textId="20093310" w:rsidR="00FD1468" w:rsidRPr="00FD1468" w:rsidRDefault="00FD1468" w:rsidP="00FD1468">
      <w:pPr>
        <w:rPr>
          <w:b/>
          <w:bCs/>
        </w:rPr>
      </w:pPr>
      <w:r w:rsidRPr="00FD1468">
        <w:rPr>
          <w:b/>
          <w:bCs/>
        </w:rPr>
        <w:t>Employment requirem</w:t>
      </w:r>
      <w:r w:rsidR="003B0D7E">
        <w:rPr>
          <w:b/>
          <w:bCs/>
        </w:rPr>
        <w:t>ents</w:t>
      </w:r>
    </w:p>
    <w:p w14:paraId="238B662D" w14:textId="2409C28F" w:rsidR="00DB5AAE" w:rsidRPr="00DB5AAE" w:rsidRDefault="00DB5AAE" w:rsidP="00DB5AAE">
      <w:r>
        <w:rPr>
          <w:b/>
          <w:bCs/>
        </w:rPr>
        <w:t>2029</w:t>
      </w:r>
    </w:p>
    <w:p w14:paraId="1F995298" w14:textId="5A1E26E9" w:rsidR="00CA0043" w:rsidRDefault="003B0D7E" w:rsidP="00CA0043">
      <w:pPr>
        <w:rPr>
          <w:b/>
          <w:bCs/>
        </w:rPr>
      </w:pPr>
      <w:r>
        <w:rPr>
          <w:b/>
          <w:bCs/>
        </w:rPr>
        <w:t>Professional knowledge of</w:t>
      </w:r>
      <w:r w:rsidR="00CA0043">
        <w:rPr>
          <w:b/>
          <w:bCs/>
        </w:rPr>
        <w:t>:</w:t>
      </w:r>
    </w:p>
    <w:p w14:paraId="5B32CF94" w14:textId="31CE1FFE" w:rsidR="003B0D7E" w:rsidRDefault="003B0D7E" w:rsidP="00250D77">
      <w:pPr>
        <w:pStyle w:val="ListParagraph"/>
      </w:pPr>
      <w:r>
        <w:t>Enrolment criteria and process</w:t>
      </w:r>
    </w:p>
    <w:p w14:paraId="50657433" w14:textId="7E70A108" w:rsidR="003B0D7E" w:rsidRDefault="003B0D7E" w:rsidP="00250D77">
      <w:pPr>
        <w:pStyle w:val="ListParagraph"/>
      </w:pPr>
      <w:r>
        <w:t>BLENNZ specialist services</w:t>
      </w:r>
    </w:p>
    <w:p w14:paraId="7026D419" w14:textId="64D11F94" w:rsidR="00E4040D" w:rsidRDefault="00E4040D" w:rsidP="00E4040D">
      <w:pPr>
        <w:rPr>
          <w:b/>
          <w:bCs/>
        </w:rPr>
      </w:pPr>
      <w:r>
        <w:rPr>
          <w:b/>
          <w:bCs/>
        </w:rPr>
        <w:t>Professional responsibility including</w:t>
      </w:r>
    </w:p>
    <w:p w14:paraId="5B7F79FD" w14:textId="254A736A" w:rsidR="00E4040D" w:rsidRPr="00E4040D" w:rsidRDefault="00E4040D" w:rsidP="00E4040D">
      <w:pPr>
        <w:rPr>
          <w:b/>
          <w:bCs/>
        </w:rPr>
      </w:pPr>
      <w:r>
        <w:rPr>
          <w:b/>
          <w:bCs/>
        </w:rPr>
        <w:t>Employment requirements</w:t>
      </w:r>
    </w:p>
    <w:p w14:paraId="3CBFA8D4" w14:textId="3CCB122A" w:rsidR="00652BC0" w:rsidRDefault="00DF4CAE" w:rsidP="00DF4CAE">
      <w:pPr>
        <w:pStyle w:val="Heading3"/>
        <w:rPr>
          <w:lang w:val="en-GB"/>
        </w:rPr>
      </w:pPr>
      <w:r>
        <w:rPr>
          <w:lang w:val="en-GB"/>
        </w:rPr>
        <w:t>Goal 3 – Government Priorities</w:t>
      </w:r>
    </w:p>
    <w:p w14:paraId="4EFE6C8A" w14:textId="6BFA0D72" w:rsidR="00FC74B1" w:rsidRDefault="00FC74B1" w:rsidP="00250D77">
      <w:pPr>
        <w:pStyle w:val="Heading4"/>
      </w:pPr>
      <w:r>
        <w:t>For teaching teams to understand, implement and ensure access to learning in response to government priorities</w:t>
      </w:r>
    </w:p>
    <w:p w14:paraId="05D65506" w14:textId="77777777" w:rsidR="00DB5AAE" w:rsidRDefault="00DB5AAE" w:rsidP="00DB5AAE">
      <w:pPr>
        <w:rPr>
          <w:b/>
          <w:bCs/>
        </w:rPr>
      </w:pPr>
      <w:r w:rsidRPr="00DB5AAE">
        <w:rPr>
          <w:b/>
          <w:bCs/>
        </w:rPr>
        <w:t>2026</w:t>
      </w:r>
    </w:p>
    <w:p w14:paraId="75E03520" w14:textId="77777777" w:rsidR="00A55C5F" w:rsidRPr="00FB0C7B" w:rsidRDefault="00A55C5F" w:rsidP="00250D77">
      <w:pPr>
        <w:pStyle w:val="ListParagraph"/>
      </w:pPr>
      <w:r w:rsidRPr="00FB0C7B">
        <w:t>Complete SMART literacy and mathematics assessment training via MoE</w:t>
      </w:r>
      <w:r>
        <w:t>.</w:t>
      </w:r>
    </w:p>
    <w:p w14:paraId="3562FF57" w14:textId="77777777" w:rsidR="00A55C5F" w:rsidRPr="00FB0C7B" w:rsidRDefault="00A55C5F" w:rsidP="00250D77">
      <w:pPr>
        <w:pStyle w:val="ListParagraph"/>
      </w:pPr>
      <w:r w:rsidRPr="00FB0C7B">
        <w:t>Advocate for accessible learning practices across all settings</w:t>
      </w:r>
      <w:r>
        <w:t>.</w:t>
      </w:r>
    </w:p>
    <w:p w14:paraId="31EA8A0B" w14:textId="77777777" w:rsidR="00A55C5F" w:rsidRPr="00FB0C7B" w:rsidRDefault="00A55C5F" w:rsidP="00250D77">
      <w:pPr>
        <w:pStyle w:val="ListParagraph"/>
      </w:pPr>
      <w:r w:rsidRPr="00FB0C7B">
        <w:t>Ensuring accessible materials are available in line with the curriculum resources</w:t>
      </w:r>
      <w:r>
        <w:t>.</w:t>
      </w:r>
    </w:p>
    <w:p w14:paraId="0DBE8EE2" w14:textId="77777777" w:rsidR="00A55C5F" w:rsidRPr="00FB0C7B" w:rsidRDefault="00A55C5F" w:rsidP="00250D77">
      <w:pPr>
        <w:pStyle w:val="ListParagraph"/>
      </w:pPr>
      <w:r w:rsidRPr="00FB0C7B">
        <w:t>Engage in regional Maths Curriculum PLD through BLEND Learning</w:t>
      </w:r>
      <w:r>
        <w:t>.</w:t>
      </w:r>
    </w:p>
    <w:p w14:paraId="627C2122" w14:textId="1539EBE8" w:rsidR="00A55C5F" w:rsidRPr="00FB0C7B" w:rsidRDefault="00A55C5F" w:rsidP="00250D77">
      <w:pPr>
        <w:pStyle w:val="ListParagraph"/>
      </w:pPr>
      <w:r w:rsidRPr="00FB0C7B">
        <w:t xml:space="preserve">Implement </w:t>
      </w:r>
      <w:r w:rsidR="00D42B8B">
        <w:t>Better Start Literacy Approach (</w:t>
      </w:r>
      <w:r w:rsidRPr="00FB0C7B">
        <w:t>BSLA</w:t>
      </w:r>
      <w:r w:rsidR="00D42B8B">
        <w:t>)</w:t>
      </w:r>
      <w:r w:rsidRPr="00FB0C7B">
        <w:t xml:space="preserve"> PLD tailored for Special Schools</w:t>
      </w:r>
      <w:r>
        <w:t>.</w:t>
      </w:r>
    </w:p>
    <w:p w14:paraId="4F0FF58F" w14:textId="77777777" w:rsidR="00A55C5F" w:rsidRPr="00FB0C7B" w:rsidRDefault="00A55C5F" w:rsidP="00250D77">
      <w:pPr>
        <w:pStyle w:val="ListParagraph"/>
      </w:pPr>
      <w:r w:rsidRPr="00FB0C7B">
        <w:t>Campus school complete Numicon PLD to support blind, deafblind and low vision learners.</w:t>
      </w:r>
    </w:p>
    <w:p w14:paraId="0BB6BEB6" w14:textId="677046FB" w:rsidR="00FD09EC" w:rsidRPr="00A55C5F" w:rsidRDefault="00A55C5F" w:rsidP="00250D77">
      <w:pPr>
        <w:pStyle w:val="ListParagraph"/>
        <w:rPr>
          <w:rFonts w:ascii="Aptos" w:hAnsi="Aptos" w:cs="Aptos"/>
        </w:rPr>
      </w:pPr>
      <w:r w:rsidRPr="00FB0C7B">
        <w:t>Ensure all new teaching resources are adapted in line with the Marrakesh Treaty.</w:t>
      </w:r>
    </w:p>
    <w:p w14:paraId="0A8882D4" w14:textId="77777777" w:rsidR="00DB5AAE" w:rsidRDefault="00DB5AAE" w:rsidP="00DB5AAE">
      <w:pPr>
        <w:rPr>
          <w:b/>
          <w:bCs/>
        </w:rPr>
      </w:pPr>
      <w:r>
        <w:rPr>
          <w:b/>
          <w:bCs/>
        </w:rPr>
        <w:t>2027</w:t>
      </w:r>
    </w:p>
    <w:p w14:paraId="150C6C4C" w14:textId="2A9FCBE1" w:rsidR="00A55C5F" w:rsidRDefault="0058055E" w:rsidP="00250D77">
      <w:pPr>
        <w:pStyle w:val="ListParagraph"/>
      </w:pPr>
      <w:r>
        <w:t>To be reviewed each year as the Government advises.</w:t>
      </w:r>
    </w:p>
    <w:p w14:paraId="320FA29C" w14:textId="77777777" w:rsidR="00DB5AAE" w:rsidRDefault="00DB5AAE" w:rsidP="00DB5AAE">
      <w:pPr>
        <w:rPr>
          <w:b/>
          <w:bCs/>
        </w:rPr>
      </w:pPr>
      <w:r>
        <w:rPr>
          <w:b/>
          <w:bCs/>
        </w:rPr>
        <w:t>2028</w:t>
      </w:r>
    </w:p>
    <w:p w14:paraId="414EC487" w14:textId="1CDDF8DD" w:rsidR="00DB5AAE" w:rsidRPr="00DB5AAE" w:rsidRDefault="00DB5AAE" w:rsidP="00DB5AAE">
      <w:r>
        <w:rPr>
          <w:b/>
          <w:bCs/>
        </w:rPr>
        <w:t>2029</w:t>
      </w:r>
    </w:p>
    <w:p w14:paraId="555BAD64" w14:textId="77777777" w:rsidR="00F94FA9" w:rsidRPr="005D4C66" w:rsidRDefault="00F94FA9" w:rsidP="004A72C1"/>
    <w:sectPr w:rsidR="00F94FA9" w:rsidRPr="005D4C66" w:rsidSect="00250D77">
      <w:footerReference w:type="first" r:id="rId12"/>
      <w:pgSz w:w="11906" w:h="16838"/>
      <w:pgMar w:top="1134" w:right="1134" w:bottom="1134"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9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81FA" w14:textId="77777777" w:rsidR="001C63F8" w:rsidRDefault="001C63F8" w:rsidP="00E95714">
      <w:pPr>
        <w:spacing w:before="0" w:after="0" w:line="240" w:lineRule="auto"/>
      </w:pPr>
      <w:r>
        <w:separator/>
      </w:r>
    </w:p>
  </w:endnote>
  <w:endnote w:type="continuationSeparator" w:id="0">
    <w:p w14:paraId="5631C8BA" w14:textId="77777777" w:rsidR="001C63F8" w:rsidRDefault="001C63F8" w:rsidP="00E957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43F6" w14:textId="1632877E" w:rsidR="00AE0EBB" w:rsidRDefault="00AE0EBB">
    <w:pPr>
      <w:pStyle w:val="Footer"/>
    </w:pPr>
    <w:r>
      <w:rPr>
        <w:b/>
        <w:noProof/>
        <w:sz w:val="46"/>
        <w:szCs w:val="40"/>
        <w:lang w:eastAsia="en-NZ"/>
      </w:rPr>
      <w:drawing>
        <wp:anchor distT="0" distB="0" distL="114300" distR="114300" simplePos="0" relativeHeight="251659264" behindDoc="1" locked="0" layoutInCell="1" allowOverlap="1" wp14:anchorId="2B849D67" wp14:editId="626481F3">
          <wp:simplePos x="0" y="0"/>
          <wp:positionH relativeFrom="column">
            <wp:posOffset>-806450</wp:posOffset>
          </wp:positionH>
          <wp:positionV relativeFrom="paragraph">
            <wp:posOffset>-1689100</wp:posOffset>
          </wp:positionV>
          <wp:extent cx="2781300" cy="2388235"/>
          <wp:effectExtent l="0" t="0" r="0" b="0"/>
          <wp:wrapNone/>
          <wp:docPr id="861434935" name="Picture 861434935" descr="BLENNZ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Lef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23882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8C17" w14:textId="77777777" w:rsidR="001C63F8" w:rsidRDefault="001C63F8" w:rsidP="00E95714">
      <w:pPr>
        <w:spacing w:before="0" w:after="0" w:line="240" w:lineRule="auto"/>
      </w:pPr>
      <w:r>
        <w:separator/>
      </w:r>
    </w:p>
  </w:footnote>
  <w:footnote w:type="continuationSeparator" w:id="0">
    <w:p w14:paraId="78B7A515" w14:textId="77777777" w:rsidR="001C63F8" w:rsidRDefault="001C63F8" w:rsidP="00E9571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662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CAED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A806E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8F045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D4A5D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3CCB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9A36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7D0A7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A201D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7029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E2B0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F747A"/>
    <w:multiLevelType w:val="hybridMultilevel"/>
    <w:tmpl w:val="5630F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46537D6"/>
    <w:multiLevelType w:val="hybridMultilevel"/>
    <w:tmpl w:val="A4780A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5233BD4"/>
    <w:multiLevelType w:val="hybridMultilevel"/>
    <w:tmpl w:val="DC6CDC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8D46010"/>
    <w:multiLevelType w:val="multilevel"/>
    <w:tmpl w:val="3E9EC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EB4ED8"/>
    <w:multiLevelType w:val="hybridMultilevel"/>
    <w:tmpl w:val="E5D0E436"/>
    <w:lvl w:ilvl="0" w:tplc="80A4A2F8">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E2F2FBB"/>
    <w:multiLevelType w:val="hybridMultilevel"/>
    <w:tmpl w:val="FFFFFFFF"/>
    <w:lvl w:ilvl="0" w:tplc="777A04F8">
      <w:start w:val="1"/>
      <w:numFmt w:val="bullet"/>
      <w:lvlText w:val=""/>
      <w:lvlJc w:val="left"/>
      <w:pPr>
        <w:ind w:left="567" w:hanging="360"/>
      </w:pPr>
      <w:rPr>
        <w:rFonts w:ascii="Symbol" w:hAnsi="Symbol" w:hint="default"/>
      </w:rPr>
    </w:lvl>
    <w:lvl w:ilvl="1" w:tplc="E3663AE6">
      <w:start w:val="1"/>
      <w:numFmt w:val="bullet"/>
      <w:lvlText w:val="o"/>
      <w:lvlJc w:val="left"/>
      <w:pPr>
        <w:ind w:left="1287" w:hanging="360"/>
      </w:pPr>
      <w:rPr>
        <w:rFonts w:ascii="Courier New" w:hAnsi="Courier New" w:hint="default"/>
      </w:rPr>
    </w:lvl>
    <w:lvl w:ilvl="2" w:tplc="050C155A">
      <w:start w:val="1"/>
      <w:numFmt w:val="bullet"/>
      <w:lvlText w:val=""/>
      <w:lvlJc w:val="left"/>
      <w:pPr>
        <w:ind w:left="2007" w:hanging="360"/>
      </w:pPr>
      <w:rPr>
        <w:rFonts w:ascii="Wingdings" w:hAnsi="Wingdings" w:hint="default"/>
      </w:rPr>
    </w:lvl>
    <w:lvl w:ilvl="3" w:tplc="9440CA60">
      <w:start w:val="1"/>
      <w:numFmt w:val="bullet"/>
      <w:lvlText w:val=""/>
      <w:lvlJc w:val="left"/>
      <w:pPr>
        <w:ind w:left="2727" w:hanging="360"/>
      </w:pPr>
      <w:rPr>
        <w:rFonts w:ascii="Symbol" w:hAnsi="Symbol" w:hint="default"/>
      </w:rPr>
    </w:lvl>
    <w:lvl w:ilvl="4" w:tplc="7E0ADCCA">
      <w:start w:val="1"/>
      <w:numFmt w:val="bullet"/>
      <w:lvlText w:val="o"/>
      <w:lvlJc w:val="left"/>
      <w:pPr>
        <w:ind w:left="3447" w:hanging="360"/>
      </w:pPr>
      <w:rPr>
        <w:rFonts w:ascii="Courier New" w:hAnsi="Courier New" w:hint="default"/>
      </w:rPr>
    </w:lvl>
    <w:lvl w:ilvl="5" w:tplc="C7EA10FA">
      <w:start w:val="1"/>
      <w:numFmt w:val="bullet"/>
      <w:lvlText w:val=""/>
      <w:lvlJc w:val="left"/>
      <w:pPr>
        <w:ind w:left="4167" w:hanging="360"/>
      </w:pPr>
      <w:rPr>
        <w:rFonts w:ascii="Wingdings" w:hAnsi="Wingdings" w:hint="default"/>
      </w:rPr>
    </w:lvl>
    <w:lvl w:ilvl="6" w:tplc="B09A87B4">
      <w:start w:val="1"/>
      <w:numFmt w:val="bullet"/>
      <w:lvlText w:val=""/>
      <w:lvlJc w:val="left"/>
      <w:pPr>
        <w:ind w:left="4887" w:hanging="360"/>
      </w:pPr>
      <w:rPr>
        <w:rFonts w:ascii="Symbol" w:hAnsi="Symbol" w:hint="default"/>
      </w:rPr>
    </w:lvl>
    <w:lvl w:ilvl="7" w:tplc="89A63698">
      <w:start w:val="1"/>
      <w:numFmt w:val="bullet"/>
      <w:lvlText w:val="o"/>
      <w:lvlJc w:val="left"/>
      <w:pPr>
        <w:ind w:left="5607" w:hanging="360"/>
      </w:pPr>
      <w:rPr>
        <w:rFonts w:ascii="Courier New" w:hAnsi="Courier New" w:hint="default"/>
      </w:rPr>
    </w:lvl>
    <w:lvl w:ilvl="8" w:tplc="F3B0415A">
      <w:start w:val="1"/>
      <w:numFmt w:val="bullet"/>
      <w:lvlText w:val=""/>
      <w:lvlJc w:val="left"/>
      <w:pPr>
        <w:ind w:left="6327" w:hanging="360"/>
      </w:pPr>
      <w:rPr>
        <w:rFonts w:ascii="Wingdings" w:hAnsi="Wingdings" w:hint="default"/>
      </w:rPr>
    </w:lvl>
  </w:abstractNum>
  <w:abstractNum w:abstractNumId="17" w15:restartNumberingAfterBreak="0">
    <w:nsid w:val="105B1338"/>
    <w:multiLevelType w:val="hybridMultilevel"/>
    <w:tmpl w:val="EFD8B5C4"/>
    <w:lvl w:ilvl="0" w:tplc="A784FFD4">
      <w:numFmt w:val="bullet"/>
      <w:lvlText w:val="-"/>
      <w:lvlJc w:val="left"/>
      <w:pPr>
        <w:ind w:left="720" w:hanging="360"/>
      </w:pPr>
      <w:rPr>
        <w:rFonts w:ascii="Arial" w:eastAsia="Times New Roman"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2B8405D"/>
    <w:multiLevelType w:val="hybridMultilevel"/>
    <w:tmpl w:val="E5F225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4BB6F4C"/>
    <w:multiLevelType w:val="hybridMultilevel"/>
    <w:tmpl w:val="0C7423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170603AD"/>
    <w:multiLevelType w:val="hybridMultilevel"/>
    <w:tmpl w:val="67AEFC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17D8039A"/>
    <w:multiLevelType w:val="hybridMultilevel"/>
    <w:tmpl w:val="FFFFFFFF"/>
    <w:lvl w:ilvl="0" w:tplc="48D44C92">
      <w:start w:val="1"/>
      <w:numFmt w:val="bullet"/>
      <w:lvlText w:val=""/>
      <w:lvlJc w:val="left"/>
      <w:pPr>
        <w:ind w:left="360" w:hanging="360"/>
      </w:pPr>
      <w:rPr>
        <w:rFonts w:ascii="Symbol" w:hAnsi="Symbol" w:hint="default"/>
      </w:rPr>
    </w:lvl>
    <w:lvl w:ilvl="1" w:tplc="0B7253BC">
      <w:start w:val="1"/>
      <w:numFmt w:val="bullet"/>
      <w:lvlText w:val="o"/>
      <w:lvlJc w:val="left"/>
      <w:pPr>
        <w:ind w:left="1080" w:hanging="360"/>
      </w:pPr>
      <w:rPr>
        <w:rFonts w:ascii="Courier New" w:hAnsi="Courier New" w:hint="default"/>
      </w:rPr>
    </w:lvl>
    <w:lvl w:ilvl="2" w:tplc="E7C8750E">
      <w:start w:val="1"/>
      <w:numFmt w:val="bullet"/>
      <w:lvlText w:val=""/>
      <w:lvlJc w:val="left"/>
      <w:pPr>
        <w:ind w:left="1800" w:hanging="360"/>
      </w:pPr>
      <w:rPr>
        <w:rFonts w:ascii="Wingdings" w:hAnsi="Wingdings" w:hint="default"/>
      </w:rPr>
    </w:lvl>
    <w:lvl w:ilvl="3" w:tplc="34A86D44">
      <w:start w:val="1"/>
      <w:numFmt w:val="bullet"/>
      <w:lvlText w:val=""/>
      <w:lvlJc w:val="left"/>
      <w:pPr>
        <w:ind w:left="2520" w:hanging="360"/>
      </w:pPr>
      <w:rPr>
        <w:rFonts w:ascii="Symbol" w:hAnsi="Symbol" w:hint="default"/>
      </w:rPr>
    </w:lvl>
    <w:lvl w:ilvl="4" w:tplc="22BAB256">
      <w:start w:val="1"/>
      <w:numFmt w:val="bullet"/>
      <w:lvlText w:val="o"/>
      <w:lvlJc w:val="left"/>
      <w:pPr>
        <w:ind w:left="3240" w:hanging="360"/>
      </w:pPr>
      <w:rPr>
        <w:rFonts w:ascii="Courier New" w:hAnsi="Courier New" w:hint="default"/>
      </w:rPr>
    </w:lvl>
    <w:lvl w:ilvl="5" w:tplc="4300E902">
      <w:start w:val="1"/>
      <w:numFmt w:val="bullet"/>
      <w:lvlText w:val=""/>
      <w:lvlJc w:val="left"/>
      <w:pPr>
        <w:ind w:left="3960" w:hanging="360"/>
      </w:pPr>
      <w:rPr>
        <w:rFonts w:ascii="Wingdings" w:hAnsi="Wingdings" w:hint="default"/>
      </w:rPr>
    </w:lvl>
    <w:lvl w:ilvl="6" w:tplc="8A2AE9B0">
      <w:start w:val="1"/>
      <w:numFmt w:val="bullet"/>
      <w:lvlText w:val=""/>
      <w:lvlJc w:val="left"/>
      <w:pPr>
        <w:ind w:left="4680" w:hanging="360"/>
      </w:pPr>
      <w:rPr>
        <w:rFonts w:ascii="Symbol" w:hAnsi="Symbol" w:hint="default"/>
      </w:rPr>
    </w:lvl>
    <w:lvl w:ilvl="7" w:tplc="95683378">
      <w:start w:val="1"/>
      <w:numFmt w:val="bullet"/>
      <w:lvlText w:val="o"/>
      <w:lvlJc w:val="left"/>
      <w:pPr>
        <w:ind w:left="5400" w:hanging="360"/>
      </w:pPr>
      <w:rPr>
        <w:rFonts w:ascii="Courier New" w:hAnsi="Courier New" w:hint="default"/>
      </w:rPr>
    </w:lvl>
    <w:lvl w:ilvl="8" w:tplc="F6FE0B76">
      <w:start w:val="1"/>
      <w:numFmt w:val="bullet"/>
      <w:lvlText w:val=""/>
      <w:lvlJc w:val="left"/>
      <w:pPr>
        <w:ind w:left="6120" w:hanging="360"/>
      </w:pPr>
      <w:rPr>
        <w:rFonts w:ascii="Wingdings" w:hAnsi="Wingdings" w:hint="default"/>
      </w:rPr>
    </w:lvl>
  </w:abstractNum>
  <w:abstractNum w:abstractNumId="22" w15:restartNumberingAfterBreak="0">
    <w:nsid w:val="180232D4"/>
    <w:multiLevelType w:val="hybridMultilevel"/>
    <w:tmpl w:val="852A0D18"/>
    <w:lvl w:ilvl="0" w:tplc="5F84DB10">
      <w:numFmt w:val="bullet"/>
      <w:lvlText w:val="-"/>
      <w:lvlJc w:val="left"/>
      <w:pPr>
        <w:ind w:left="720" w:hanging="360"/>
      </w:pPr>
      <w:rPr>
        <w:rFonts w:ascii="Arial" w:eastAsia="Calibr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19C5459D"/>
    <w:multiLevelType w:val="hybridMultilevel"/>
    <w:tmpl w:val="A66027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1A3220E4"/>
    <w:multiLevelType w:val="hybridMultilevel"/>
    <w:tmpl w:val="232A5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7B52CF"/>
    <w:multiLevelType w:val="hybridMultilevel"/>
    <w:tmpl w:val="3F90C8DE"/>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94275E0"/>
    <w:multiLevelType w:val="hybridMultilevel"/>
    <w:tmpl w:val="1D9C40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9A96AF1"/>
    <w:multiLevelType w:val="hybridMultilevel"/>
    <w:tmpl w:val="005AFF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2C740D7C"/>
    <w:multiLevelType w:val="hybridMultilevel"/>
    <w:tmpl w:val="171604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2E8C7F1F"/>
    <w:multiLevelType w:val="hybridMultilevel"/>
    <w:tmpl w:val="13061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53036F3"/>
    <w:multiLevelType w:val="hybridMultilevel"/>
    <w:tmpl w:val="004248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6982CA4"/>
    <w:multiLevelType w:val="multilevel"/>
    <w:tmpl w:val="8F820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AE43E1"/>
    <w:multiLevelType w:val="multilevel"/>
    <w:tmpl w:val="891A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0817B2"/>
    <w:multiLevelType w:val="hybridMultilevel"/>
    <w:tmpl w:val="85D48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3AF32BD2"/>
    <w:multiLevelType w:val="hybridMultilevel"/>
    <w:tmpl w:val="91F882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3DAB176B"/>
    <w:multiLevelType w:val="multilevel"/>
    <w:tmpl w:val="2716D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FA151B"/>
    <w:multiLevelType w:val="hybridMultilevel"/>
    <w:tmpl w:val="A2B43B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43AA24BE"/>
    <w:multiLevelType w:val="hybridMultilevel"/>
    <w:tmpl w:val="E1A2B5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47910B3"/>
    <w:multiLevelType w:val="hybridMultilevel"/>
    <w:tmpl w:val="B2EC8A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462D7974"/>
    <w:multiLevelType w:val="hybridMultilevel"/>
    <w:tmpl w:val="4AB68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69876F0"/>
    <w:multiLevelType w:val="hybridMultilevel"/>
    <w:tmpl w:val="636466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46A02E9B"/>
    <w:multiLevelType w:val="hybridMultilevel"/>
    <w:tmpl w:val="4292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AE97E41"/>
    <w:multiLevelType w:val="hybridMultilevel"/>
    <w:tmpl w:val="37D696FC"/>
    <w:lvl w:ilvl="0" w:tplc="8BACD95C">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DA90482"/>
    <w:multiLevelType w:val="hybridMultilevel"/>
    <w:tmpl w:val="1CDC952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E2F35A0"/>
    <w:multiLevelType w:val="hybridMultilevel"/>
    <w:tmpl w:val="F03E0B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5" w15:restartNumberingAfterBreak="0">
    <w:nsid w:val="528A3E22"/>
    <w:multiLevelType w:val="hybridMultilevel"/>
    <w:tmpl w:val="C92EA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34B3B27"/>
    <w:multiLevelType w:val="hybridMultilevel"/>
    <w:tmpl w:val="F31AE9B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58DB1219"/>
    <w:multiLevelType w:val="hybridMultilevel"/>
    <w:tmpl w:val="FC0866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C3478C2"/>
    <w:multiLevelType w:val="hybridMultilevel"/>
    <w:tmpl w:val="FC1E9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5D5B3BA8"/>
    <w:multiLevelType w:val="hybridMultilevel"/>
    <w:tmpl w:val="96548D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5DAE3391"/>
    <w:multiLevelType w:val="hybridMultilevel"/>
    <w:tmpl w:val="1982F9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5E8C7180"/>
    <w:multiLevelType w:val="hybridMultilevel"/>
    <w:tmpl w:val="19A42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0893B0E"/>
    <w:multiLevelType w:val="multilevel"/>
    <w:tmpl w:val="89922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2594AE0"/>
    <w:multiLevelType w:val="hybridMultilevel"/>
    <w:tmpl w:val="8C5C0D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4" w15:restartNumberingAfterBreak="0">
    <w:nsid w:val="6495064E"/>
    <w:multiLevelType w:val="hybridMultilevel"/>
    <w:tmpl w:val="2F9CE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65AA7339"/>
    <w:multiLevelType w:val="hybridMultilevel"/>
    <w:tmpl w:val="53068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80422E3"/>
    <w:multiLevelType w:val="hybridMultilevel"/>
    <w:tmpl w:val="A3547A36"/>
    <w:lvl w:ilvl="0" w:tplc="F4002F1A">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69A814D2"/>
    <w:multiLevelType w:val="hybridMultilevel"/>
    <w:tmpl w:val="66AA1878"/>
    <w:lvl w:ilvl="0" w:tplc="2D4E4F5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6CF714FB"/>
    <w:multiLevelType w:val="hybridMultilevel"/>
    <w:tmpl w:val="A810EA6C"/>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9" w15:restartNumberingAfterBreak="0">
    <w:nsid w:val="6D1101A3"/>
    <w:multiLevelType w:val="hybridMultilevel"/>
    <w:tmpl w:val="167A85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0" w15:restartNumberingAfterBreak="0">
    <w:nsid w:val="6F223A21"/>
    <w:multiLevelType w:val="hybridMultilevel"/>
    <w:tmpl w:val="A0961E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6F416D24"/>
    <w:multiLevelType w:val="hybridMultilevel"/>
    <w:tmpl w:val="79BA30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2" w15:restartNumberingAfterBreak="0">
    <w:nsid w:val="70DD3156"/>
    <w:multiLevelType w:val="multilevel"/>
    <w:tmpl w:val="CF64E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1C01A08"/>
    <w:multiLevelType w:val="hybridMultilevel"/>
    <w:tmpl w:val="D17E44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4" w15:restartNumberingAfterBreak="0">
    <w:nsid w:val="74122771"/>
    <w:multiLevelType w:val="hybridMultilevel"/>
    <w:tmpl w:val="AC9A46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5" w15:restartNumberingAfterBreak="0">
    <w:nsid w:val="756A2A0B"/>
    <w:multiLevelType w:val="hybridMultilevel"/>
    <w:tmpl w:val="2670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D4005B"/>
    <w:multiLevelType w:val="hybridMultilevel"/>
    <w:tmpl w:val="01906480"/>
    <w:lvl w:ilvl="0" w:tplc="F314054C">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7" w15:restartNumberingAfterBreak="0">
    <w:nsid w:val="794C2A9E"/>
    <w:multiLevelType w:val="hybridMultilevel"/>
    <w:tmpl w:val="42C85C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8" w15:restartNumberingAfterBreak="0">
    <w:nsid w:val="79B60BD3"/>
    <w:multiLevelType w:val="multilevel"/>
    <w:tmpl w:val="8D3A8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C037F6"/>
    <w:multiLevelType w:val="hybridMultilevel"/>
    <w:tmpl w:val="4B3E0A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7DFB5DC3"/>
    <w:multiLevelType w:val="hybridMultilevel"/>
    <w:tmpl w:val="880A92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1" w15:restartNumberingAfterBreak="0">
    <w:nsid w:val="7E304F02"/>
    <w:multiLevelType w:val="hybridMultilevel"/>
    <w:tmpl w:val="6866A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2" w15:restartNumberingAfterBreak="0">
    <w:nsid w:val="7FCDBC7F"/>
    <w:multiLevelType w:val="hybridMultilevel"/>
    <w:tmpl w:val="FFFFFFFF"/>
    <w:lvl w:ilvl="0" w:tplc="A5EE3838">
      <w:start w:val="1"/>
      <w:numFmt w:val="bullet"/>
      <w:lvlText w:val=""/>
      <w:lvlJc w:val="left"/>
      <w:pPr>
        <w:ind w:left="360" w:hanging="360"/>
      </w:pPr>
      <w:rPr>
        <w:rFonts w:ascii="Symbol" w:hAnsi="Symbol" w:hint="default"/>
      </w:rPr>
    </w:lvl>
    <w:lvl w:ilvl="1" w:tplc="3B7ED4D2">
      <w:start w:val="1"/>
      <w:numFmt w:val="bullet"/>
      <w:lvlText w:val="o"/>
      <w:lvlJc w:val="left"/>
      <w:pPr>
        <w:ind w:left="1080" w:hanging="360"/>
      </w:pPr>
      <w:rPr>
        <w:rFonts w:ascii="Courier New" w:hAnsi="Courier New" w:hint="default"/>
      </w:rPr>
    </w:lvl>
    <w:lvl w:ilvl="2" w:tplc="298A19F6">
      <w:start w:val="1"/>
      <w:numFmt w:val="bullet"/>
      <w:lvlText w:val=""/>
      <w:lvlJc w:val="left"/>
      <w:pPr>
        <w:ind w:left="1800" w:hanging="360"/>
      </w:pPr>
      <w:rPr>
        <w:rFonts w:ascii="Wingdings" w:hAnsi="Wingdings" w:hint="default"/>
      </w:rPr>
    </w:lvl>
    <w:lvl w:ilvl="3" w:tplc="3362A8BE">
      <w:start w:val="1"/>
      <w:numFmt w:val="bullet"/>
      <w:lvlText w:val=""/>
      <w:lvlJc w:val="left"/>
      <w:pPr>
        <w:ind w:left="2520" w:hanging="360"/>
      </w:pPr>
      <w:rPr>
        <w:rFonts w:ascii="Symbol" w:hAnsi="Symbol" w:hint="default"/>
      </w:rPr>
    </w:lvl>
    <w:lvl w:ilvl="4" w:tplc="1A9A06EC">
      <w:start w:val="1"/>
      <w:numFmt w:val="bullet"/>
      <w:lvlText w:val="o"/>
      <w:lvlJc w:val="left"/>
      <w:pPr>
        <w:ind w:left="3240" w:hanging="360"/>
      </w:pPr>
      <w:rPr>
        <w:rFonts w:ascii="Courier New" w:hAnsi="Courier New" w:hint="default"/>
      </w:rPr>
    </w:lvl>
    <w:lvl w:ilvl="5" w:tplc="01849D80">
      <w:start w:val="1"/>
      <w:numFmt w:val="bullet"/>
      <w:lvlText w:val=""/>
      <w:lvlJc w:val="left"/>
      <w:pPr>
        <w:ind w:left="3960" w:hanging="360"/>
      </w:pPr>
      <w:rPr>
        <w:rFonts w:ascii="Wingdings" w:hAnsi="Wingdings" w:hint="default"/>
      </w:rPr>
    </w:lvl>
    <w:lvl w:ilvl="6" w:tplc="CFD0EFD2">
      <w:start w:val="1"/>
      <w:numFmt w:val="bullet"/>
      <w:lvlText w:val=""/>
      <w:lvlJc w:val="left"/>
      <w:pPr>
        <w:ind w:left="4680" w:hanging="360"/>
      </w:pPr>
      <w:rPr>
        <w:rFonts w:ascii="Symbol" w:hAnsi="Symbol" w:hint="default"/>
      </w:rPr>
    </w:lvl>
    <w:lvl w:ilvl="7" w:tplc="FDA6917C">
      <w:start w:val="1"/>
      <w:numFmt w:val="bullet"/>
      <w:lvlText w:val="o"/>
      <w:lvlJc w:val="left"/>
      <w:pPr>
        <w:ind w:left="5400" w:hanging="360"/>
      </w:pPr>
      <w:rPr>
        <w:rFonts w:ascii="Courier New" w:hAnsi="Courier New" w:hint="default"/>
      </w:rPr>
    </w:lvl>
    <w:lvl w:ilvl="8" w:tplc="C49C4FB0">
      <w:start w:val="1"/>
      <w:numFmt w:val="bullet"/>
      <w:lvlText w:val=""/>
      <w:lvlJc w:val="left"/>
      <w:pPr>
        <w:ind w:left="6120" w:hanging="360"/>
      </w:pPr>
      <w:rPr>
        <w:rFonts w:ascii="Wingdings" w:hAnsi="Wingdings" w:hint="default"/>
      </w:rPr>
    </w:lvl>
  </w:abstractNum>
  <w:abstractNum w:abstractNumId="73" w15:restartNumberingAfterBreak="0">
    <w:nsid w:val="7FFC4269"/>
    <w:multiLevelType w:val="hybridMultilevel"/>
    <w:tmpl w:val="11CE60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87001998">
    <w:abstractNumId w:val="0"/>
  </w:num>
  <w:num w:numId="2" w16cid:durableId="1887722016">
    <w:abstractNumId w:val="1"/>
  </w:num>
  <w:num w:numId="3" w16cid:durableId="414933092">
    <w:abstractNumId w:val="2"/>
  </w:num>
  <w:num w:numId="4" w16cid:durableId="1729762137">
    <w:abstractNumId w:val="3"/>
  </w:num>
  <w:num w:numId="5" w16cid:durableId="1148782784">
    <w:abstractNumId w:val="4"/>
  </w:num>
  <w:num w:numId="6" w16cid:durableId="1777476564">
    <w:abstractNumId w:val="9"/>
  </w:num>
  <w:num w:numId="7" w16cid:durableId="1922324956">
    <w:abstractNumId w:val="5"/>
  </w:num>
  <w:num w:numId="8" w16cid:durableId="49114772">
    <w:abstractNumId w:val="6"/>
  </w:num>
  <w:num w:numId="9" w16cid:durableId="859506979">
    <w:abstractNumId w:val="7"/>
  </w:num>
  <w:num w:numId="10" w16cid:durableId="2119249205">
    <w:abstractNumId w:val="8"/>
  </w:num>
  <w:num w:numId="11" w16cid:durableId="561985408">
    <w:abstractNumId w:val="10"/>
  </w:num>
  <w:num w:numId="12" w16cid:durableId="664556818">
    <w:abstractNumId w:val="17"/>
  </w:num>
  <w:num w:numId="13" w16cid:durableId="1056658387">
    <w:abstractNumId w:val="22"/>
  </w:num>
  <w:num w:numId="14" w16cid:durableId="1304195117">
    <w:abstractNumId w:val="62"/>
  </w:num>
  <w:num w:numId="15" w16cid:durableId="1449735974">
    <w:abstractNumId w:val="32"/>
  </w:num>
  <w:num w:numId="16" w16cid:durableId="555623874">
    <w:abstractNumId w:val="52"/>
  </w:num>
  <w:num w:numId="17" w16cid:durableId="1694767878">
    <w:abstractNumId w:val="31"/>
  </w:num>
  <w:num w:numId="18" w16cid:durableId="363672383">
    <w:abstractNumId w:val="14"/>
  </w:num>
  <w:num w:numId="19" w16cid:durableId="72623886">
    <w:abstractNumId w:val="35"/>
  </w:num>
  <w:num w:numId="20" w16cid:durableId="1957446807">
    <w:abstractNumId w:val="68"/>
  </w:num>
  <w:num w:numId="21" w16cid:durableId="1537497375">
    <w:abstractNumId w:val="44"/>
  </w:num>
  <w:num w:numId="22" w16cid:durableId="1179659489">
    <w:abstractNumId w:val="71"/>
  </w:num>
  <w:num w:numId="23" w16cid:durableId="858855115">
    <w:abstractNumId w:val="29"/>
  </w:num>
  <w:num w:numId="24" w16cid:durableId="770705477">
    <w:abstractNumId w:val="49"/>
  </w:num>
  <w:num w:numId="25" w16cid:durableId="1207838816">
    <w:abstractNumId w:val="23"/>
  </w:num>
  <w:num w:numId="26" w16cid:durableId="61492658">
    <w:abstractNumId w:val="67"/>
  </w:num>
  <w:num w:numId="27" w16cid:durableId="1556358703">
    <w:abstractNumId w:val="20"/>
  </w:num>
  <w:num w:numId="28" w16cid:durableId="2089304160">
    <w:abstractNumId w:val="51"/>
  </w:num>
  <w:num w:numId="29" w16cid:durableId="1830437224">
    <w:abstractNumId w:val="11"/>
  </w:num>
  <w:num w:numId="30" w16cid:durableId="1505046470">
    <w:abstractNumId w:val="12"/>
  </w:num>
  <w:num w:numId="31" w16cid:durableId="211114492">
    <w:abstractNumId w:val="50"/>
  </w:num>
  <w:num w:numId="32" w16cid:durableId="1199243772">
    <w:abstractNumId w:val="42"/>
  </w:num>
  <w:num w:numId="33" w16cid:durableId="1638795896">
    <w:abstractNumId w:val="41"/>
  </w:num>
  <w:num w:numId="34" w16cid:durableId="1707950155">
    <w:abstractNumId w:val="43"/>
  </w:num>
  <w:num w:numId="35" w16cid:durableId="584456766">
    <w:abstractNumId w:val="69"/>
  </w:num>
  <w:num w:numId="36" w16cid:durableId="156969898">
    <w:abstractNumId w:val="48"/>
  </w:num>
  <w:num w:numId="37" w16cid:durableId="2112705204">
    <w:abstractNumId w:val="15"/>
  </w:num>
  <w:num w:numId="38" w16cid:durableId="2028478092">
    <w:abstractNumId w:val="73"/>
  </w:num>
  <w:num w:numId="39" w16cid:durableId="1175343964">
    <w:abstractNumId w:val="27"/>
  </w:num>
  <w:num w:numId="40" w16cid:durableId="455683639">
    <w:abstractNumId w:val="26"/>
  </w:num>
  <w:num w:numId="41" w16cid:durableId="1427464077">
    <w:abstractNumId w:val="58"/>
  </w:num>
  <w:num w:numId="42" w16cid:durableId="167720990">
    <w:abstractNumId w:val="25"/>
  </w:num>
  <w:num w:numId="43" w16cid:durableId="1329752746">
    <w:abstractNumId w:val="46"/>
  </w:num>
  <w:num w:numId="44" w16cid:durableId="1430928577">
    <w:abstractNumId w:val="60"/>
  </w:num>
  <w:num w:numId="45" w16cid:durableId="346636882">
    <w:abstractNumId w:val="13"/>
  </w:num>
  <w:num w:numId="46" w16cid:durableId="1490289753">
    <w:abstractNumId w:val="65"/>
  </w:num>
  <w:num w:numId="47" w16cid:durableId="938417054">
    <w:abstractNumId w:val="28"/>
  </w:num>
  <w:num w:numId="48" w16cid:durableId="1369791284">
    <w:abstractNumId w:val="72"/>
  </w:num>
  <w:num w:numId="49" w16cid:durableId="1806657412">
    <w:abstractNumId w:val="64"/>
  </w:num>
  <w:num w:numId="50" w16cid:durableId="1601378577">
    <w:abstractNumId w:val="40"/>
  </w:num>
  <w:num w:numId="51" w16cid:durableId="2035224120">
    <w:abstractNumId w:val="24"/>
  </w:num>
  <w:num w:numId="52" w16cid:durableId="20253674">
    <w:abstractNumId w:val="33"/>
  </w:num>
  <w:num w:numId="53" w16cid:durableId="1766265879">
    <w:abstractNumId w:val="21"/>
  </w:num>
  <w:num w:numId="54" w16cid:durableId="1682664687">
    <w:abstractNumId w:val="59"/>
  </w:num>
  <w:num w:numId="55" w16cid:durableId="2106219870">
    <w:abstractNumId w:val="30"/>
  </w:num>
  <w:num w:numId="56" w16cid:durableId="564030340">
    <w:abstractNumId w:val="55"/>
  </w:num>
  <w:num w:numId="57" w16cid:durableId="160004618">
    <w:abstractNumId w:val="19"/>
  </w:num>
  <w:num w:numId="58" w16cid:durableId="1549337488">
    <w:abstractNumId w:val="54"/>
  </w:num>
  <w:num w:numId="59" w16cid:durableId="1415054701">
    <w:abstractNumId w:val="37"/>
  </w:num>
  <w:num w:numId="60" w16cid:durableId="1464349425">
    <w:abstractNumId w:val="18"/>
  </w:num>
  <w:num w:numId="61" w16cid:durableId="1283922995">
    <w:abstractNumId w:val="66"/>
  </w:num>
  <w:num w:numId="62" w16cid:durableId="200288558">
    <w:abstractNumId w:val="63"/>
  </w:num>
  <w:num w:numId="63" w16cid:durableId="1775444943">
    <w:abstractNumId w:val="53"/>
  </w:num>
  <w:num w:numId="64" w16cid:durableId="2134668837">
    <w:abstractNumId w:val="34"/>
  </w:num>
  <w:num w:numId="65" w16cid:durableId="1632133414">
    <w:abstractNumId w:val="36"/>
  </w:num>
  <w:num w:numId="66" w16cid:durableId="2048721579">
    <w:abstractNumId w:val="70"/>
  </w:num>
  <w:num w:numId="67" w16cid:durableId="2048144479">
    <w:abstractNumId w:val="45"/>
  </w:num>
  <w:num w:numId="68" w16cid:durableId="1748960110">
    <w:abstractNumId w:val="38"/>
  </w:num>
  <w:num w:numId="69" w16cid:durableId="2134126847">
    <w:abstractNumId w:val="61"/>
  </w:num>
  <w:num w:numId="70" w16cid:durableId="1562861463">
    <w:abstractNumId w:val="56"/>
  </w:num>
  <w:num w:numId="71" w16cid:durableId="262302692">
    <w:abstractNumId w:val="57"/>
  </w:num>
  <w:num w:numId="72" w16cid:durableId="84959547">
    <w:abstractNumId w:val="47"/>
  </w:num>
  <w:num w:numId="73" w16cid:durableId="1717897958">
    <w:abstractNumId w:val="39"/>
  </w:num>
  <w:num w:numId="74" w16cid:durableId="5706972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C4"/>
    <w:rsid w:val="00007DC2"/>
    <w:rsid w:val="001054D2"/>
    <w:rsid w:val="00105D93"/>
    <w:rsid w:val="00111F09"/>
    <w:rsid w:val="00163118"/>
    <w:rsid w:val="00167368"/>
    <w:rsid w:val="00193106"/>
    <w:rsid w:val="001979D8"/>
    <w:rsid w:val="001C63F8"/>
    <w:rsid w:val="00244D40"/>
    <w:rsid w:val="00250D77"/>
    <w:rsid w:val="00254C13"/>
    <w:rsid w:val="002872AC"/>
    <w:rsid w:val="002877F6"/>
    <w:rsid w:val="002B37F9"/>
    <w:rsid w:val="002C38E0"/>
    <w:rsid w:val="002F0509"/>
    <w:rsid w:val="002F71CC"/>
    <w:rsid w:val="00315BE6"/>
    <w:rsid w:val="003678A6"/>
    <w:rsid w:val="00371884"/>
    <w:rsid w:val="0038475C"/>
    <w:rsid w:val="00391F60"/>
    <w:rsid w:val="003A2906"/>
    <w:rsid w:val="003B0D7E"/>
    <w:rsid w:val="003E6293"/>
    <w:rsid w:val="004032B4"/>
    <w:rsid w:val="00405345"/>
    <w:rsid w:val="00406FC4"/>
    <w:rsid w:val="004A72C1"/>
    <w:rsid w:val="004C526E"/>
    <w:rsid w:val="004C7EF8"/>
    <w:rsid w:val="00536ABA"/>
    <w:rsid w:val="0054488E"/>
    <w:rsid w:val="0058055E"/>
    <w:rsid w:val="005857F3"/>
    <w:rsid w:val="00594D84"/>
    <w:rsid w:val="005D4C66"/>
    <w:rsid w:val="005E7798"/>
    <w:rsid w:val="006050FB"/>
    <w:rsid w:val="006245A0"/>
    <w:rsid w:val="00643D10"/>
    <w:rsid w:val="00652BC0"/>
    <w:rsid w:val="00670349"/>
    <w:rsid w:val="00675F94"/>
    <w:rsid w:val="006A19FA"/>
    <w:rsid w:val="006B43B6"/>
    <w:rsid w:val="00716B42"/>
    <w:rsid w:val="00746BA8"/>
    <w:rsid w:val="00766394"/>
    <w:rsid w:val="00782230"/>
    <w:rsid w:val="007C11E5"/>
    <w:rsid w:val="007E38BE"/>
    <w:rsid w:val="00827BC2"/>
    <w:rsid w:val="008361D3"/>
    <w:rsid w:val="00872AD2"/>
    <w:rsid w:val="008B63A0"/>
    <w:rsid w:val="0090116E"/>
    <w:rsid w:val="009067DA"/>
    <w:rsid w:val="00962260"/>
    <w:rsid w:val="00984A28"/>
    <w:rsid w:val="00986634"/>
    <w:rsid w:val="009A42AE"/>
    <w:rsid w:val="00A55C5F"/>
    <w:rsid w:val="00A574F9"/>
    <w:rsid w:val="00A72A96"/>
    <w:rsid w:val="00A7752C"/>
    <w:rsid w:val="00A824B0"/>
    <w:rsid w:val="00AB4494"/>
    <w:rsid w:val="00AC282B"/>
    <w:rsid w:val="00AC4AD4"/>
    <w:rsid w:val="00AE0EBB"/>
    <w:rsid w:val="00B11E05"/>
    <w:rsid w:val="00B21946"/>
    <w:rsid w:val="00B349F2"/>
    <w:rsid w:val="00B438BF"/>
    <w:rsid w:val="00BA28CB"/>
    <w:rsid w:val="00BC5A1E"/>
    <w:rsid w:val="00C43BC1"/>
    <w:rsid w:val="00CA0043"/>
    <w:rsid w:val="00CA4800"/>
    <w:rsid w:val="00D22DE2"/>
    <w:rsid w:val="00D3363C"/>
    <w:rsid w:val="00D36FC3"/>
    <w:rsid w:val="00D42B8B"/>
    <w:rsid w:val="00D57EE9"/>
    <w:rsid w:val="00D71BF3"/>
    <w:rsid w:val="00DB4331"/>
    <w:rsid w:val="00DB5AAE"/>
    <w:rsid w:val="00DF4CAE"/>
    <w:rsid w:val="00E4040D"/>
    <w:rsid w:val="00E95714"/>
    <w:rsid w:val="00EB0336"/>
    <w:rsid w:val="00EB29B2"/>
    <w:rsid w:val="00F00755"/>
    <w:rsid w:val="00F36632"/>
    <w:rsid w:val="00F669BD"/>
    <w:rsid w:val="00F75318"/>
    <w:rsid w:val="00F94FA9"/>
    <w:rsid w:val="00FC74B1"/>
    <w:rsid w:val="00FC7606"/>
    <w:rsid w:val="00FD09EC"/>
    <w:rsid w:val="00FD1468"/>
    <w:rsid w:val="00FE2F52"/>
    <w:rsid w:val="00FF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E4095"/>
  <w15:chartTrackingRefBased/>
  <w15:docId w15:val="{7F3BC738-80F0-48B3-8FDA-971D63EE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3363C"/>
    <w:pPr>
      <w:spacing w:before="100" w:beforeAutospacing="1" w:after="100" w:afterAutospacing="1" w:line="288" w:lineRule="auto"/>
    </w:pPr>
    <w:rPr>
      <w:rFonts w:ascii="Arial" w:hAnsi="Arial"/>
      <w:szCs w:val="22"/>
    </w:rPr>
  </w:style>
  <w:style w:type="paragraph" w:styleId="Heading1">
    <w:name w:val="heading 1"/>
    <w:basedOn w:val="Normal"/>
    <w:next w:val="Normal"/>
    <w:link w:val="Heading1Char"/>
    <w:autoRedefine/>
    <w:uiPriority w:val="9"/>
    <w:qFormat/>
    <w:rsid w:val="00250D77"/>
    <w:pPr>
      <w:keepNext/>
      <w:keepLines/>
      <w:outlineLvl w:val="0"/>
    </w:pPr>
    <w:rPr>
      <w:rFonts w:eastAsiaTheme="majorEastAsia" w:cstheme="majorBidi"/>
      <w:b/>
      <w:color w:val="000000" w:themeColor="text1"/>
      <w:sz w:val="40"/>
      <w:szCs w:val="32"/>
    </w:rPr>
  </w:style>
  <w:style w:type="paragraph" w:styleId="Heading2">
    <w:name w:val="heading 2"/>
    <w:basedOn w:val="Normal"/>
    <w:next w:val="Normal"/>
    <w:link w:val="Heading2Char"/>
    <w:autoRedefine/>
    <w:uiPriority w:val="9"/>
    <w:qFormat/>
    <w:rsid w:val="00250D77"/>
    <w:pPr>
      <w:keepNext/>
      <w:keepLines/>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qFormat/>
    <w:rsid w:val="009A42AE"/>
    <w:pPr>
      <w:keepNext/>
      <w:keepLines/>
      <w:outlineLvl w:val="2"/>
    </w:pPr>
    <w:rPr>
      <w:rFonts w:eastAsiaTheme="majorEastAsia" w:cstheme="majorBidi"/>
      <w:color w:val="000000" w:themeColor="text1"/>
      <w:sz w:val="32"/>
    </w:rPr>
  </w:style>
  <w:style w:type="paragraph" w:styleId="Heading4">
    <w:name w:val="heading 4"/>
    <w:basedOn w:val="Normal"/>
    <w:next w:val="Normal"/>
    <w:link w:val="Heading4Char"/>
    <w:autoRedefine/>
    <w:uiPriority w:val="9"/>
    <w:qFormat/>
    <w:rsid w:val="00250D77"/>
    <w:pPr>
      <w:keepNext/>
      <w:keepLines/>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77"/>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250D77"/>
    <w:rPr>
      <w:rFonts w:ascii="Arial" w:eastAsiaTheme="majorEastAsia" w:hAnsi="Arial" w:cstheme="majorBidi"/>
      <w:b/>
      <w:color w:val="000000" w:themeColor="text1"/>
      <w:sz w:val="32"/>
      <w:szCs w:val="26"/>
    </w:rPr>
  </w:style>
  <w:style w:type="character" w:customStyle="1" w:styleId="Heading3Char">
    <w:name w:val="Heading 3 Char"/>
    <w:basedOn w:val="DefaultParagraphFont"/>
    <w:link w:val="Heading3"/>
    <w:uiPriority w:val="9"/>
    <w:rsid w:val="009A42AE"/>
    <w:rPr>
      <w:rFonts w:ascii="Arial" w:eastAsiaTheme="majorEastAsia" w:hAnsi="Arial" w:cstheme="majorBidi"/>
      <w:color w:val="000000" w:themeColor="text1"/>
      <w:sz w:val="32"/>
    </w:rPr>
  </w:style>
  <w:style w:type="character" w:customStyle="1" w:styleId="Heading4Char">
    <w:name w:val="Heading 4 Char"/>
    <w:basedOn w:val="DefaultParagraphFont"/>
    <w:link w:val="Heading4"/>
    <w:uiPriority w:val="9"/>
    <w:rsid w:val="00250D77"/>
    <w:rPr>
      <w:rFonts w:ascii="Arial" w:eastAsiaTheme="majorEastAsia" w:hAnsi="Arial" w:cstheme="majorBidi"/>
      <w:b/>
      <w:iCs/>
      <w:color w:val="000000" w:themeColor="text1"/>
      <w:sz w:val="28"/>
      <w:szCs w:val="22"/>
    </w:rPr>
  </w:style>
  <w:style w:type="paragraph" w:styleId="ListParagraph">
    <w:name w:val="List Paragraph"/>
    <w:aliases w:val="bullet list,Bullets,Bullet point style,List Paragraph numbered,Quotations,List Paragraph1,List Paragraph11,TOC style,lp1,Bullet OSM,Proposal Bullet List,Rec para,Dot pt,F5 List Paragraph,No Spacing1,List Paragraph Char Char Char,L"/>
    <w:basedOn w:val="Normal"/>
    <w:link w:val="ListParagraphChar"/>
    <w:autoRedefine/>
    <w:uiPriority w:val="34"/>
    <w:qFormat/>
    <w:rsid w:val="00250D77"/>
    <w:pPr>
      <w:numPr>
        <w:numId w:val="61"/>
      </w:numPr>
      <w:contextualSpacing/>
    </w:pPr>
    <w:rPr>
      <w:rFonts w:cs="Arial"/>
      <w:szCs w:val="20"/>
      <w:lang w:val="en-AU"/>
    </w:rPr>
  </w:style>
  <w:style w:type="table" w:styleId="TableGrid">
    <w:name w:val="Table Grid"/>
    <w:basedOn w:val="TableNormal"/>
    <w:uiPriority w:val="39"/>
    <w:rsid w:val="0090116E"/>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71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95714"/>
    <w:rPr>
      <w:rFonts w:ascii="Arial" w:hAnsi="Arial"/>
    </w:rPr>
  </w:style>
  <w:style w:type="paragraph" w:styleId="Footer">
    <w:name w:val="footer"/>
    <w:basedOn w:val="Normal"/>
    <w:link w:val="FooterChar"/>
    <w:uiPriority w:val="99"/>
    <w:unhideWhenUsed/>
    <w:rsid w:val="00E9571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95714"/>
    <w:rPr>
      <w:rFonts w:ascii="Arial" w:hAnsi="Arial"/>
    </w:rPr>
  </w:style>
  <w:style w:type="paragraph" w:styleId="Title">
    <w:name w:val="Title"/>
    <w:basedOn w:val="Normal"/>
    <w:link w:val="TitleChar"/>
    <w:autoRedefine/>
    <w:uiPriority w:val="10"/>
    <w:qFormat/>
    <w:rsid w:val="00D3363C"/>
    <w:pPr>
      <w:spacing w:before="0" w:beforeAutospacing="0" w:after="160" w:afterAutospacing="0" w:line="256" w:lineRule="auto"/>
      <w:jc w:val="center"/>
    </w:pPr>
    <w:rPr>
      <w:rFonts w:cs="Arial"/>
      <w:bCs/>
      <w:sz w:val="48"/>
    </w:rPr>
  </w:style>
  <w:style w:type="character" w:customStyle="1" w:styleId="TitleChar">
    <w:name w:val="Title Char"/>
    <w:basedOn w:val="DefaultParagraphFont"/>
    <w:link w:val="Title"/>
    <w:uiPriority w:val="10"/>
    <w:rsid w:val="00D3363C"/>
    <w:rPr>
      <w:rFonts w:ascii="Arial" w:hAnsi="Arial" w:cs="Arial"/>
      <w:bCs/>
      <w:sz w:val="48"/>
      <w:szCs w:val="22"/>
    </w:rPr>
  </w:style>
  <w:style w:type="character" w:customStyle="1" w:styleId="ListParagraphChar">
    <w:name w:val="List Paragraph Char"/>
    <w:aliases w:val="bullet list Char,Bullets Char,Bullet point style Char,List Paragraph numbered Char,Quotations Char,List Paragraph1 Char,List Paragraph11 Char,TOC style Char,lp1 Char,Bullet OSM Char,Proposal Bullet List Char,Rec para Char,Dot pt Char"/>
    <w:link w:val="ListParagraph"/>
    <w:uiPriority w:val="34"/>
    <w:locked/>
    <w:rsid w:val="00250D77"/>
    <w:rPr>
      <w:rFonts w:ascii="Arial" w:hAnsi="Arial" w:cs="Arial"/>
      <w:szCs w:val="20"/>
      <w:lang w:val="en-AU"/>
    </w:rPr>
  </w:style>
  <w:style w:type="character" w:styleId="Hyperlink">
    <w:name w:val="Hyperlink"/>
    <w:uiPriority w:val="99"/>
    <w:unhideWhenUsed/>
    <w:rsid w:val="004A7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education.govt.nz/our-work/legislation/education-and-training-act-2020/the-education-and-training-act-information-for-board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illigan\OneDrive%20-%20Blind%20and%20Low%20Vision%20Education%20Network%20NZ\Documents\Custom%20Office%20Templates\Accessibl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3b5e289f41040ea920a4d220a565616">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401f0b8f5e754ded935708523c079e26"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779250-39FD-4FAC-9429-BCBCC74AF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D8177-CDF8-4510-A0EC-B00FE92CC527}">
  <ds:schemaRefs>
    <ds:schemaRef ds:uri="http://schemas.microsoft.com/sharepoint/v3/contenttype/forms"/>
  </ds:schemaRefs>
</ds:datastoreItem>
</file>

<file path=customXml/itemProps3.xml><?xml version="1.0" encoding="utf-8"?>
<ds:datastoreItem xmlns:ds="http://schemas.openxmlformats.org/officeDocument/2006/customXml" ds:itemID="{711886FC-80B4-412F-8D65-21BD0853A459}">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C:\Users\egilligan\OneDrive - Blind and Low Vision Education Network NZ\Documents\Custom Office Templates\Accessible 25.dotx</Template>
  <TotalTime>5</TotalTime>
  <Pages>9</Pages>
  <Words>1751</Words>
  <Characters>11035</Characters>
  <Application>Microsoft Office Word</Application>
  <DocSecurity>0</DocSecurity>
  <Lines>269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Gilligan</dc:creator>
  <cp:keywords/>
  <dc:description/>
  <cp:lastModifiedBy>Emily Gilligan</cp:lastModifiedBy>
  <cp:revision>6</cp:revision>
  <cp:lastPrinted>2025-11-26T18:50:00Z</cp:lastPrinted>
  <dcterms:created xsi:type="dcterms:W3CDTF">2025-11-23T21:29:00Z</dcterms:created>
  <dcterms:modified xsi:type="dcterms:W3CDTF">2026-02-23T20:18:00Z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