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D0709" w14:textId="77777777" w:rsidR="00EF28A8" w:rsidRDefault="00844039" w:rsidP="00844039">
      <w:pPr>
        <w:pStyle w:val="Heading1"/>
        <w:rPr>
          <w:lang w:val="en-NZ"/>
        </w:rPr>
      </w:pPr>
      <w:r>
        <w:rPr>
          <w:lang w:val="en-NZ"/>
        </w:rPr>
        <w:t>Operational Policy: Management Unit Allocation (NAG 3)</w:t>
      </w:r>
    </w:p>
    <w:p w14:paraId="2113B8A4" w14:textId="77777777" w:rsidR="00844039" w:rsidRDefault="00844039" w:rsidP="00844039">
      <w:pPr>
        <w:pStyle w:val="Heading2"/>
        <w:rPr>
          <w:lang w:val="en-NZ"/>
        </w:rPr>
      </w:pPr>
      <w:r>
        <w:rPr>
          <w:lang w:val="en-NZ"/>
        </w:rPr>
        <w:t>Blind &amp; Low Vision Education Network NZ</w:t>
      </w:r>
    </w:p>
    <w:p w14:paraId="0C9F334A" w14:textId="77777777" w:rsidR="00844039" w:rsidRDefault="00844039" w:rsidP="00844039">
      <w:pPr>
        <w:rPr>
          <w:lang w:val="en-NZ"/>
        </w:rPr>
      </w:pPr>
    </w:p>
    <w:p w14:paraId="527F4AD7" w14:textId="77777777" w:rsidR="00844039" w:rsidRDefault="00844039" w:rsidP="00844039">
      <w:pPr>
        <w:pStyle w:val="Heading2"/>
        <w:rPr>
          <w:lang w:val="en-NZ"/>
        </w:rPr>
      </w:pPr>
      <w:r>
        <w:rPr>
          <w:lang w:val="en-NZ"/>
        </w:rPr>
        <w:t>Statement of Intent:</w:t>
      </w:r>
    </w:p>
    <w:p w14:paraId="7866F358" w14:textId="77777777" w:rsidR="00844039" w:rsidRDefault="00844039" w:rsidP="00844039">
      <w:pPr>
        <w:rPr>
          <w:lang w:val="en-NZ"/>
        </w:rPr>
      </w:pPr>
      <w:r>
        <w:rPr>
          <w:lang w:val="en-NZ"/>
        </w:rPr>
        <w:t xml:space="preserve">The Blind &amp; Low Vision Education Network NZ (BLENNZ) is entitled, in any one school year, to </w:t>
      </w:r>
      <w:proofErr w:type="gramStart"/>
      <w:r>
        <w:rPr>
          <w:lang w:val="en-NZ"/>
        </w:rPr>
        <w:t>a number of</w:t>
      </w:r>
      <w:proofErr w:type="gramEnd"/>
      <w:r>
        <w:rPr>
          <w:lang w:val="en-NZ"/>
        </w:rPr>
        <w:t xml:space="preserve"> units for the purposes of management, responsibility, recruitment, retention and/or reward. These are created by formula in the Education (School Staffing) Order for teaching staff employed by BLENNZ through Ministry of Education funded Teacher Salaries.</w:t>
      </w:r>
      <w:r w:rsidR="00914D64">
        <w:rPr>
          <w:lang w:val="en-NZ"/>
        </w:rPr>
        <w:t xml:space="preserve">  </w:t>
      </w:r>
      <w:r w:rsidR="009354D1">
        <w:rPr>
          <w:lang w:val="en-NZ"/>
        </w:rPr>
        <w:t>This includes teachers employed within the Homai Campus School and teachers employed through the National Network.</w:t>
      </w:r>
    </w:p>
    <w:p w14:paraId="20925D9F" w14:textId="77777777" w:rsidR="00914D64" w:rsidRDefault="00914D64" w:rsidP="00914D64">
      <w:pPr>
        <w:rPr>
          <w:lang w:val="en-NZ"/>
        </w:rPr>
      </w:pPr>
      <w:r>
        <w:rPr>
          <w:lang w:val="en-NZ"/>
        </w:rPr>
        <w:t>The number of management units may vary from year to year, dependent upon the staffing formula.</w:t>
      </w:r>
    </w:p>
    <w:p w14:paraId="2A1E70E8" w14:textId="77777777" w:rsidR="00FC50A0" w:rsidRPr="00844039" w:rsidRDefault="00FC50A0" w:rsidP="00914D64">
      <w:pPr>
        <w:rPr>
          <w:lang w:val="en-NZ"/>
        </w:rPr>
      </w:pPr>
      <w:r>
        <w:rPr>
          <w:lang w:val="en-NZ"/>
        </w:rPr>
        <w:t xml:space="preserve">Management Units covered within this policy do not include the salary unit paid to itinerating Resource Teachers Vision, or the unit paid to </w:t>
      </w:r>
      <w:proofErr w:type="gramStart"/>
      <w:r>
        <w:rPr>
          <w:lang w:val="en-NZ"/>
        </w:rPr>
        <w:t>school based</w:t>
      </w:r>
      <w:proofErr w:type="gramEnd"/>
      <w:r>
        <w:rPr>
          <w:lang w:val="en-NZ"/>
        </w:rPr>
        <w:t xml:space="preserve"> Resource Teachers Vision as the Braille Allowance.</w:t>
      </w:r>
      <w:r w:rsidR="009354D1">
        <w:rPr>
          <w:lang w:val="en-NZ"/>
        </w:rPr>
        <w:t xml:space="preserve"> </w:t>
      </w:r>
    </w:p>
    <w:p w14:paraId="6CDE4D72" w14:textId="77777777" w:rsidR="00844039" w:rsidRDefault="00844039" w:rsidP="00844039">
      <w:pPr>
        <w:rPr>
          <w:lang w:val="en-NZ"/>
        </w:rPr>
      </w:pPr>
      <w:r>
        <w:rPr>
          <w:lang w:val="en-NZ"/>
        </w:rPr>
        <w:t>This policy relates to the determination of these units and will be reviewed in consultation with teachers, every three years.</w:t>
      </w:r>
    </w:p>
    <w:p w14:paraId="274DEE19" w14:textId="77777777" w:rsidR="00F019BF" w:rsidRDefault="00F019BF" w:rsidP="00F019BF">
      <w:pPr>
        <w:pStyle w:val="Heading2"/>
        <w:rPr>
          <w:lang w:val="en-NZ"/>
        </w:rPr>
      </w:pPr>
      <w:r>
        <w:rPr>
          <w:lang w:val="en-NZ"/>
        </w:rPr>
        <w:t>Definitions:</w:t>
      </w:r>
    </w:p>
    <w:p w14:paraId="73B40D45" w14:textId="77777777" w:rsidR="00F019BF" w:rsidRDefault="00F019BF" w:rsidP="00F019BF">
      <w:pPr>
        <w:rPr>
          <w:lang w:val="en-NZ"/>
        </w:rPr>
      </w:pPr>
      <w:r>
        <w:rPr>
          <w:lang w:val="en-NZ"/>
        </w:rPr>
        <w:t>1.</w:t>
      </w:r>
      <w:r>
        <w:rPr>
          <w:lang w:val="en-NZ"/>
        </w:rPr>
        <w:tab/>
        <w:t>Management Unit – formula funded from Staffing Order.</w:t>
      </w:r>
    </w:p>
    <w:p w14:paraId="5D6E0840" w14:textId="77777777" w:rsidR="00F019BF" w:rsidRDefault="00F019BF" w:rsidP="00FC50A0">
      <w:pPr>
        <w:ind w:left="720" w:hanging="720"/>
        <w:rPr>
          <w:lang w:val="en-NZ"/>
        </w:rPr>
      </w:pPr>
      <w:r>
        <w:rPr>
          <w:lang w:val="en-NZ"/>
        </w:rPr>
        <w:t>2.</w:t>
      </w:r>
      <w:r>
        <w:rPr>
          <w:lang w:val="en-NZ"/>
        </w:rPr>
        <w:tab/>
        <w:t xml:space="preserve">Salary Unit – provision of a permanent unit for </w:t>
      </w:r>
      <w:r w:rsidR="00FC50A0">
        <w:rPr>
          <w:lang w:val="en-NZ"/>
        </w:rPr>
        <w:t xml:space="preserve">itinerating </w:t>
      </w:r>
      <w:r>
        <w:rPr>
          <w:lang w:val="en-NZ"/>
        </w:rPr>
        <w:t>Resource Teachers Visually Impaired</w:t>
      </w:r>
      <w:r w:rsidR="00FC50A0">
        <w:rPr>
          <w:lang w:val="en-NZ"/>
        </w:rPr>
        <w:t xml:space="preserve"> (3.6.2 and 3.6.6 of PTCA) or </w:t>
      </w:r>
      <w:proofErr w:type="gramStart"/>
      <w:r w:rsidR="00FC50A0">
        <w:rPr>
          <w:lang w:val="en-NZ"/>
        </w:rPr>
        <w:t>school based</w:t>
      </w:r>
      <w:proofErr w:type="gramEnd"/>
      <w:r w:rsidR="00FC50A0">
        <w:rPr>
          <w:lang w:val="en-NZ"/>
        </w:rPr>
        <w:t xml:space="preserve"> Resource Teachers Visually Impaired (3.29 of PTCA).</w:t>
      </w:r>
    </w:p>
    <w:p w14:paraId="613F6693" w14:textId="77777777" w:rsidR="00FC50A0" w:rsidRDefault="00FC50A0" w:rsidP="00FC50A0">
      <w:pPr>
        <w:ind w:left="720" w:hanging="720"/>
        <w:rPr>
          <w:lang w:val="en-NZ"/>
        </w:rPr>
      </w:pPr>
      <w:r>
        <w:rPr>
          <w:lang w:val="en-NZ"/>
        </w:rPr>
        <w:t>3.</w:t>
      </w:r>
      <w:r>
        <w:rPr>
          <w:lang w:val="en-NZ"/>
        </w:rPr>
        <w:tab/>
        <w:t>3R Payment for Recruitment, Retention and Responsibility (3.26 of PTCA) paid from Board funds.</w:t>
      </w:r>
    </w:p>
    <w:p w14:paraId="584F01BF" w14:textId="77777777" w:rsidR="00844039" w:rsidRDefault="00844039" w:rsidP="00844039">
      <w:pPr>
        <w:pStyle w:val="Heading2"/>
        <w:rPr>
          <w:lang w:val="en-NZ"/>
        </w:rPr>
      </w:pPr>
      <w:r>
        <w:rPr>
          <w:lang w:val="en-NZ"/>
        </w:rPr>
        <w:t>Policy Requirements:</w:t>
      </w:r>
    </w:p>
    <w:p w14:paraId="6A02EF40" w14:textId="77777777" w:rsidR="00844039" w:rsidRDefault="00844039" w:rsidP="00844039">
      <w:pPr>
        <w:ind w:left="720" w:hanging="720"/>
        <w:rPr>
          <w:lang w:val="en-NZ"/>
        </w:rPr>
      </w:pPr>
      <w:r>
        <w:rPr>
          <w:lang w:val="en-NZ"/>
        </w:rPr>
        <w:t>1.</w:t>
      </w:r>
      <w:r>
        <w:rPr>
          <w:lang w:val="en-NZ"/>
        </w:rPr>
        <w:tab/>
        <w:t>All units will be paid following guidelines in the Primary Teachers Collective Agreement (PTCA) section 3.9.</w:t>
      </w:r>
    </w:p>
    <w:p w14:paraId="0DA1558D" w14:textId="77777777" w:rsidR="001F1ABA" w:rsidRDefault="00844039" w:rsidP="00844039">
      <w:pPr>
        <w:ind w:left="720" w:hanging="720"/>
        <w:rPr>
          <w:lang w:val="en-NZ"/>
        </w:rPr>
      </w:pPr>
      <w:r>
        <w:rPr>
          <w:lang w:val="en-NZ"/>
        </w:rPr>
        <w:t>2.</w:t>
      </w:r>
      <w:r>
        <w:rPr>
          <w:lang w:val="en-NZ"/>
        </w:rPr>
        <w:tab/>
      </w:r>
      <w:r w:rsidR="001F1ABA">
        <w:rPr>
          <w:lang w:val="en-NZ"/>
        </w:rPr>
        <w:t xml:space="preserve">In accordance with the PTCA a proportion of units will be </w:t>
      </w:r>
      <w:r w:rsidR="00914D64">
        <w:rPr>
          <w:lang w:val="en-NZ"/>
        </w:rPr>
        <w:t>available on a fixed term basis to reflect additional responsibilities that will have a finite term e.g. managing a particular project – section 3.9.1(a) of the PTCA.</w:t>
      </w:r>
    </w:p>
    <w:p w14:paraId="015BB9E6" w14:textId="77777777" w:rsidR="00914D64" w:rsidRDefault="00573064" w:rsidP="00844039">
      <w:pPr>
        <w:ind w:left="720" w:hanging="720"/>
        <w:rPr>
          <w:lang w:val="en-NZ"/>
        </w:rPr>
      </w:pPr>
      <w:r>
        <w:rPr>
          <w:lang w:val="en-NZ"/>
        </w:rPr>
        <w:t>3</w:t>
      </w:r>
      <w:r w:rsidR="00914D64">
        <w:rPr>
          <w:lang w:val="en-NZ"/>
        </w:rPr>
        <w:t>.</w:t>
      </w:r>
      <w:r w:rsidR="00914D64">
        <w:rPr>
          <w:lang w:val="en-NZ"/>
        </w:rPr>
        <w:tab/>
        <w:t xml:space="preserve">Units are paid at the full rate to both full and part time teachers. They are not </w:t>
      </w:r>
      <w:proofErr w:type="spellStart"/>
      <w:r w:rsidR="00914D64">
        <w:rPr>
          <w:lang w:val="en-NZ"/>
        </w:rPr>
        <w:t>divisable</w:t>
      </w:r>
      <w:proofErr w:type="spellEnd"/>
      <w:r w:rsidR="00914D64">
        <w:rPr>
          <w:lang w:val="en-NZ"/>
        </w:rPr>
        <w:t>. The only circumstance where a unit can be proportioned pro rata is in an approved job share position.</w:t>
      </w:r>
    </w:p>
    <w:p w14:paraId="36F75E75" w14:textId="77777777" w:rsidR="00F019BF" w:rsidRDefault="00573064" w:rsidP="00573064">
      <w:pPr>
        <w:ind w:left="720" w:hanging="720"/>
        <w:rPr>
          <w:lang w:val="en-NZ"/>
        </w:rPr>
      </w:pPr>
      <w:r>
        <w:rPr>
          <w:lang w:val="en-NZ"/>
        </w:rPr>
        <w:t>4</w:t>
      </w:r>
      <w:r w:rsidR="00F019BF">
        <w:rPr>
          <w:lang w:val="en-NZ"/>
        </w:rPr>
        <w:t>.</w:t>
      </w:r>
      <w:r w:rsidR="00F019BF">
        <w:rPr>
          <w:lang w:val="en-NZ"/>
        </w:rPr>
        <w:tab/>
      </w:r>
      <w:r>
        <w:rPr>
          <w:lang w:val="en-NZ"/>
        </w:rPr>
        <w:t>Weightings for the allocation of units within BLENNZ will take the following criteria into account:</w:t>
      </w:r>
    </w:p>
    <w:p w14:paraId="4AEF874B" w14:textId="5E62E1E2" w:rsidR="00F019BF" w:rsidRDefault="00F019BF" w:rsidP="00844039">
      <w:pPr>
        <w:ind w:left="720" w:hanging="720"/>
        <w:rPr>
          <w:lang w:val="en-NZ"/>
        </w:rPr>
      </w:pPr>
      <w:r>
        <w:rPr>
          <w:lang w:val="en-NZ"/>
        </w:rPr>
        <w:lastRenderedPageBreak/>
        <w:tab/>
        <w:t>Degree of management responsibilities associated with</w:t>
      </w:r>
      <w:r w:rsidR="00D33DF6">
        <w:rPr>
          <w:lang w:val="en-NZ"/>
        </w:rPr>
        <w:t xml:space="preserve"> managing</w:t>
      </w:r>
      <w:r>
        <w:rPr>
          <w:lang w:val="en-NZ"/>
        </w:rPr>
        <w:t>:</w:t>
      </w:r>
    </w:p>
    <w:p w14:paraId="69F5BFB4" w14:textId="12808162" w:rsidR="00D33DF6" w:rsidRDefault="00D33DF6" w:rsidP="00F019BF">
      <w:pPr>
        <w:pStyle w:val="ListParagraph"/>
        <w:numPr>
          <w:ilvl w:val="0"/>
          <w:numId w:val="4"/>
        </w:numPr>
        <w:rPr>
          <w:lang w:val="en-NZ"/>
        </w:rPr>
      </w:pPr>
      <w:r>
        <w:rPr>
          <w:lang w:val="en-NZ"/>
        </w:rPr>
        <w:t>the school</w:t>
      </w:r>
    </w:p>
    <w:p w14:paraId="622636EA" w14:textId="486F1E99" w:rsidR="00914D64" w:rsidRDefault="00F019BF" w:rsidP="00F019BF">
      <w:pPr>
        <w:pStyle w:val="ListParagraph"/>
        <w:numPr>
          <w:ilvl w:val="0"/>
          <w:numId w:val="4"/>
        </w:numPr>
        <w:rPr>
          <w:lang w:val="en-NZ"/>
        </w:rPr>
      </w:pPr>
      <w:r>
        <w:rPr>
          <w:lang w:val="en-NZ"/>
        </w:rPr>
        <w:t>a national service</w:t>
      </w:r>
    </w:p>
    <w:p w14:paraId="6F1593B5" w14:textId="66F03DC1" w:rsidR="00F019BF" w:rsidRDefault="00F019BF" w:rsidP="00F019BF">
      <w:pPr>
        <w:pStyle w:val="ListParagraph"/>
        <w:numPr>
          <w:ilvl w:val="0"/>
          <w:numId w:val="4"/>
        </w:numPr>
        <w:rPr>
          <w:lang w:val="en-NZ"/>
        </w:rPr>
      </w:pPr>
      <w:r>
        <w:rPr>
          <w:lang w:val="en-NZ"/>
        </w:rPr>
        <w:t>a regional service</w:t>
      </w:r>
    </w:p>
    <w:p w14:paraId="29D08BC1" w14:textId="297DF4F3" w:rsidR="00F019BF" w:rsidRDefault="00F019BF" w:rsidP="00F019BF">
      <w:pPr>
        <w:pStyle w:val="ListParagraph"/>
        <w:numPr>
          <w:ilvl w:val="0"/>
          <w:numId w:val="4"/>
        </w:numPr>
        <w:rPr>
          <w:lang w:val="en-NZ"/>
        </w:rPr>
      </w:pPr>
      <w:r>
        <w:rPr>
          <w:lang w:val="en-NZ"/>
        </w:rPr>
        <w:t>a centre</w:t>
      </w:r>
    </w:p>
    <w:p w14:paraId="408E2E79" w14:textId="602ACDF7" w:rsidR="00F019BF" w:rsidRDefault="009328B3" w:rsidP="00F019BF">
      <w:pPr>
        <w:pStyle w:val="ListParagraph"/>
        <w:numPr>
          <w:ilvl w:val="0"/>
          <w:numId w:val="4"/>
        </w:numPr>
        <w:rPr>
          <w:lang w:val="en-NZ"/>
        </w:rPr>
      </w:pPr>
      <w:r>
        <w:rPr>
          <w:lang w:val="en-NZ"/>
        </w:rPr>
        <w:t xml:space="preserve">permanent </w:t>
      </w:r>
      <w:r w:rsidR="00F019BF">
        <w:rPr>
          <w:lang w:val="en-NZ"/>
        </w:rPr>
        <w:t>staff</w:t>
      </w:r>
    </w:p>
    <w:p w14:paraId="09F8BD42" w14:textId="01B67095" w:rsidR="00573064" w:rsidRPr="00573064" w:rsidRDefault="00D33DF6" w:rsidP="00573064">
      <w:pPr>
        <w:ind w:left="720"/>
        <w:rPr>
          <w:lang w:val="en-NZ"/>
        </w:rPr>
      </w:pPr>
      <w:r>
        <w:rPr>
          <w:lang w:val="en-NZ"/>
        </w:rPr>
        <w:t>There will be c</w:t>
      </w:r>
      <w:r w:rsidR="00EF2BF2">
        <w:rPr>
          <w:lang w:val="en-NZ"/>
        </w:rPr>
        <w:t>lear distinctions between levels of responsibility and the associated number of units attached to each position.</w:t>
      </w:r>
    </w:p>
    <w:p w14:paraId="2681378A" w14:textId="77777777" w:rsidR="00F019BF" w:rsidRDefault="00573064" w:rsidP="00F019BF">
      <w:pPr>
        <w:ind w:left="720" w:hanging="720"/>
        <w:rPr>
          <w:lang w:val="en-NZ"/>
        </w:rPr>
      </w:pPr>
      <w:r>
        <w:rPr>
          <w:lang w:val="en-NZ"/>
        </w:rPr>
        <w:t>5</w:t>
      </w:r>
      <w:r w:rsidR="00F019BF">
        <w:rPr>
          <w:lang w:val="en-NZ"/>
        </w:rPr>
        <w:t>.</w:t>
      </w:r>
      <w:r w:rsidR="00F019BF">
        <w:rPr>
          <w:lang w:val="en-NZ"/>
        </w:rPr>
        <w:tab/>
        <w:t>Within this policy the allocation of management units has been agreed for the following positions:</w:t>
      </w:r>
    </w:p>
    <w:p w14:paraId="463C6334" w14:textId="351C921C" w:rsidR="00F019BF" w:rsidRDefault="00D33DF6" w:rsidP="00F019BF">
      <w:pPr>
        <w:pStyle w:val="ListParagraph"/>
        <w:numPr>
          <w:ilvl w:val="0"/>
          <w:numId w:val="5"/>
        </w:numPr>
        <w:rPr>
          <w:lang w:val="en-NZ"/>
        </w:rPr>
      </w:pPr>
      <w:r>
        <w:rPr>
          <w:lang w:val="en-NZ"/>
        </w:rPr>
        <w:t>Deputy Principal</w:t>
      </w:r>
    </w:p>
    <w:p w14:paraId="15B692F7" w14:textId="1178D211" w:rsidR="00F019BF" w:rsidRDefault="00D33DF6" w:rsidP="00F019BF">
      <w:pPr>
        <w:pStyle w:val="ListParagraph"/>
        <w:numPr>
          <w:ilvl w:val="0"/>
          <w:numId w:val="5"/>
        </w:numPr>
        <w:rPr>
          <w:lang w:val="en-NZ"/>
        </w:rPr>
      </w:pPr>
      <w:r>
        <w:rPr>
          <w:lang w:val="en-NZ"/>
        </w:rPr>
        <w:t xml:space="preserve">Assistant Principal </w:t>
      </w:r>
      <w:r w:rsidR="00F019BF">
        <w:rPr>
          <w:lang w:val="en-NZ"/>
        </w:rPr>
        <w:t>School Services</w:t>
      </w:r>
    </w:p>
    <w:p w14:paraId="1830D5BD" w14:textId="6BF3CC7D" w:rsidR="00F019BF" w:rsidRDefault="00D33DF6" w:rsidP="00F019BF">
      <w:pPr>
        <w:pStyle w:val="ListParagraph"/>
        <w:numPr>
          <w:ilvl w:val="0"/>
          <w:numId w:val="5"/>
        </w:numPr>
        <w:rPr>
          <w:lang w:val="en-NZ"/>
        </w:rPr>
      </w:pPr>
      <w:r>
        <w:rPr>
          <w:lang w:val="en-NZ"/>
        </w:rPr>
        <w:t>Assistant Principal Regional Services</w:t>
      </w:r>
    </w:p>
    <w:p w14:paraId="1AFF4734" w14:textId="5A9F80BB" w:rsidR="00D33DF6" w:rsidRDefault="00D33DF6" w:rsidP="00F019BF">
      <w:pPr>
        <w:pStyle w:val="ListParagraph"/>
        <w:numPr>
          <w:ilvl w:val="0"/>
          <w:numId w:val="5"/>
        </w:numPr>
        <w:rPr>
          <w:lang w:val="en-NZ"/>
        </w:rPr>
      </w:pPr>
      <w:r>
        <w:rPr>
          <w:lang w:val="en-NZ"/>
        </w:rPr>
        <w:t>Assistant Principal Residential Services</w:t>
      </w:r>
    </w:p>
    <w:p w14:paraId="356EC56C" w14:textId="6C7256C0" w:rsidR="00D33DF6" w:rsidRDefault="00D33DF6" w:rsidP="00F019BF">
      <w:pPr>
        <w:pStyle w:val="ListParagraph"/>
        <w:numPr>
          <w:ilvl w:val="0"/>
          <w:numId w:val="5"/>
        </w:numPr>
        <w:rPr>
          <w:lang w:val="en-NZ"/>
        </w:rPr>
      </w:pPr>
      <w:r>
        <w:rPr>
          <w:lang w:val="en-NZ"/>
        </w:rPr>
        <w:t>Regional Practice Leads</w:t>
      </w:r>
    </w:p>
    <w:p w14:paraId="09A8B688" w14:textId="28FC98C8" w:rsidR="00F019BF" w:rsidRDefault="00D33DF6" w:rsidP="00F019BF">
      <w:pPr>
        <w:pStyle w:val="ListParagraph"/>
        <w:numPr>
          <w:ilvl w:val="0"/>
          <w:numId w:val="5"/>
        </w:numPr>
        <w:rPr>
          <w:lang w:val="en-NZ"/>
        </w:rPr>
      </w:pPr>
      <w:r>
        <w:rPr>
          <w:lang w:val="en-NZ"/>
        </w:rPr>
        <w:t>Digital Practice Lead</w:t>
      </w:r>
    </w:p>
    <w:p w14:paraId="4F24E112" w14:textId="68695B04" w:rsidR="00F019BF" w:rsidRDefault="00D33DF6" w:rsidP="00F019BF">
      <w:pPr>
        <w:pStyle w:val="ListParagraph"/>
        <w:numPr>
          <w:ilvl w:val="0"/>
          <w:numId w:val="5"/>
        </w:numPr>
        <w:rPr>
          <w:lang w:val="en-NZ"/>
        </w:rPr>
      </w:pPr>
      <w:r>
        <w:rPr>
          <w:lang w:val="en-NZ"/>
        </w:rPr>
        <w:t>Early Learning Service Practice Lead</w:t>
      </w:r>
    </w:p>
    <w:p w14:paraId="54DB5B6F" w14:textId="416121C5" w:rsidR="00F019BF" w:rsidRDefault="00D33DF6" w:rsidP="00F019BF">
      <w:pPr>
        <w:pStyle w:val="ListParagraph"/>
        <w:numPr>
          <w:ilvl w:val="0"/>
          <w:numId w:val="5"/>
        </w:numPr>
        <w:rPr>
          <w:lang w:val="en-NZ"/>
        </w:rPr>
      </w:pPr>
      <w:r>
        <w:rPr>
          <w:lang w:val="en-NZ"/>
        </w:rPr>
        <w:t>Assessment Services Practice Lead</w:t>
      </w:r>
    </w:p>
    <w:p w14:paraId="04936C71" w14:textId="77777777" w:rsidR="00D33DF6" w:rsidRDefault="00D33DF6" w:rsidP="00D33DF6">
      <w:pPr>
        <w:pStyle w:val="ListParagraph"/>
        <w:numPr>
          <w:ilvl w:val="0"/>
          <w:numId w:val="5"/>
        </w:numPr>
        <w:rPr>
          <w:lang w:val="en-NZ"/>
        </w:rPr>
      </w:pPr>
      <w:r>
        <w:rPr>
          <w:lang w:val="en-NZ"/>
        </w:rPr>
        <w:t>School Programme Lead</w:t>
      </w:r>
    </w:p>
    <w:p w14:paraId="7E4FA0BD" w14:textId="77777777" w:rsidR="00F019BF" w:rsidRDefault="00F019BF" w:rsidP="00F019BF">
      <w:pPr>
        <w:pStyle w:val="ListParagraph"/>
        <w:numPr>
          <w:ilvl w:val="0"/>
          <w:numId w:val="5"/>
        </w:numPr>
        <w:rPr>
          <w:lang w:val="en-NZ"/>
        </w:rPr>
      </w:pPr>
      <w:r>
        <w:rPr>
          <w:lang w:val="en-NZ"/>
        </w:rPr>
        <w:t>Managers Visual Resource Centres</w:t>
      </w:r>
    </w:p>
    <w:p w14:paraId="4FD676AF" w14:textId="77777777" w:rsidR="00F019BF" w:rsidRDefault="00F019BF" w:rsidP="00F019BF">
      <w:pPr>
        <w:pStyle w:val="ListParagraph"/>
        <w:numPr>
          <w:ilvl w:val="0"/>
          <w:numId w:val="5"/>
        </w:numPr>
        <w:rPr>
          <w:lang w:val="en-NZ"/>
        </w:rPr>
      </w:pPr>
      <w:r>
        <w:rPr>
          <w:lang w:val="en-NZ"/>
        </w:rPr>
        <w:t>Senior Teachers Visual Resource Centres</w:t>
      </w:r>
    </w:p>
    <w:p w14:paraId="7193F382" w14:textId="77777777" w:rsidR="00F019BF" w:rsidRDefault="00F019BF" w:rsidP="00F019BF">
      <w:pPr>
        <w:pStyle w:val="ListParagraph"/>
        <w:numPr>
          <w:ilvl w:val="0"/>
          <w:numId w:val="5"/>
        </w:numPr>
        <w:rPr>
          <w:lang w:val="en-NZ"/>
        </w:rPr>
      </w:pPr>
      <w:r>
        <w:rPr>
          <w:lang w:val="en-NZ"/>
        </w:rPr>
        <w:t>Senior Teachers Homai Campus School &amp; Satellites.</w:t>
      </w:r>
    </w:p>
    <w:p w14:paraId="53F1BD8F" w14:textId="77777777" w:rsidR="00F019BF" w:rsidRDefault="00F019BF" w:rsidP="00F019BF">
      <w:pPr>
        <w:ind w:left="720"/>
        <w:rPr>
          <w:lang w:val="en-NZ"/>
        </w:rPr>
      </w:pPr>
      <w:r>
        <w:rPr>
          <w:lang w:val="en-NZ"/>
        </w:rPr>
        <w:t xml:space="preserve">Non teacher management positions funded from </w:t>
      </w:r>
      <w:r w:rsidR="009354D1">
        <w:rPr>
          <w:lang w:val="en-NZ"/>
        </w:rPr>
        <w:t>Operating Grant or Ministry of Education contracts,</w:t>
      </w:r>
      <w:r>
        <w:rPr>
          <w:lang w:val="en-NZ"/>
        </w:rPr>
        <w:t xml:space="preserve"> will be paid an equitable </w:t>
      </w:r>
      <w:proofErr w:type="gramStart"/>
      <w:r>
        <w:rPr>
          <w:lang w:val="en-NZ"/>
        </w:rPr>
        <w:t>amount</w:t>
      </w:r>
      <w:proofErr w:type="gramEnd"/>
      <w:r>
        <w:rPr>
          <w:lang w:val="en-NZ"/>
        </w:rPr>
        <w:t xml:space="preserve"> of units to those noted above.</w:t>
      </w:r>
    </w:p>
    <w:p w14:paraId="7C01F02F" w14:textId="77777777" w:rsidR="00FC50A0" w:rsidRDefault="00573064" w:rsidP="00FC50A0">
      <w:pPr>
        <w:ind w:left="720" w:hanging="720"/>
        <w:rPr>
          <w:lang w:val="en-NZ"/>
        </w:rPr>
      </w:pPr>
      <w:r>
        <w:rPr>
          <w:lang w:val="en-NZ"/>
        </w:rPr>
        <w:t>6</w:t>
      </w:r>
      <w:r w:rsidR="00FC50A0">
        <w:rPr>
          <w:lang w:val="en-NZ"/>
        </w:rPr>
        <w:t>.</w:t>
      </w:r>
      <w:r w:rsidR="00FC50A0">
        <w:rPr>
          <w:lang w:val="en-NZ"/>
        </w:rPr>
        <w:tab/>
        <w:t xml:space="preserve">BLENNZ may also pay teaching staff 3R payments for Recruitment, </w:t>
      </w:r>
      <w:proofErr w:type="spellStart"/>
      <w:r w:rsidR="00FC50A0">
        <w:rPr>
          <w:lang w:val="en-NZ"/>
        </w:rPr>
        <w:t>Rentention</w:t>
      </w:r>
      <w:proofErr w:type="spellEnd"/>
      <w:r w:rsidR="00FC50A0">
        <w:rPr>
          <w:lang w:val="en-NZ"/>
        </w:rPr>
        <w:t xml:space="preserve"> and Responsibility. These are paid in accordance with section 3.26 of the PTCA. Payments may be allocated on a permanent or fixed term basis. 3R payments are covered by operational funding, not Ministry of Education funded allocation. They can be paid in full or can be </w:t>
      </w:r>
      <w:proofErr w:type="spellStart"/>
      <w:r w:rsidR="00FC50A0">
        <w:rPr>
          <w:lang w:val="en-NZ"/>
        </w:rPr>
        <w:t>divisable</w:t>
      </w:r>
      <w:proofErr w:type="spellEnd"/>
      <w:r w:rsidR="00FC50A0">
        <w:rPr>
          <w:lang w:val="en-NZ"/>
        </w:rPr>
        <w:t xml:space="preserve"> by two.</w:t>
      </w:r>
    </w:p>
    <w:p w14:paraId="71684816" w14:textId="77777777" w:rsidR="00EF2BF2" w:rsidRDefault="00EF2BF2" w:rsidP="009354D1">
      <w:pPr>
        <w:pStyle w:val="Heading2"/>
        <w:rPr>
          <w:lang w:val="en-NZ"/>
        </w:rPr>
      </w:pPr>
    </w:p>
    <w:p w14:paraId="48A26E80" w14:textId="77777777" w:rsidR="009354D1" w:rsidRDefault="009354D1" w:rsidP="009354D1">
      <w:pPr>
        <w:pStyle w:val="Heading2"/>
        <w:rPr>
          <w:lang w:val="en-NZ"/>
        </w:rPr>
      </w:pPr>
      <w:r>
        <w:rPr>
          <w:lang w:val="en-NZ"/>
        </w:rPr>
        <w:t>Supporting Documentation:</w:t>
      </w:r>
    </w:p>
    <w:p w14:paraId="1A75FDBE" w14:textId="77777777" w:rsidR="009354D1" w:rsidRDefault="00817101" w:rsidP="009354D1">
      <w:pPr>
        <w:rPr>
          <w:lang w:val="en-NZ"/>
        </w:rPr>
      </w:pPr>
      <w:hyperlink r:id="rId10" w:history="1">
        <w:r w:rsidR="00EF2BF2">
          <w:rPr>
            <w:rStyle w:val="Hyperlink"/>
            <w:lang w:val="en-NZ"/>
          </w:rPr>
          <w:t>Link to MOE Website - Staffing Allocations</w:t>
        </w:r>
      </w:hyperlink>
      <w:r w:rsidR="00EF2BF2">
        <w:rPr>
          <w:lang w:val="en-NZ"/>
        </w:rPr>
        <w:t xml:space="preserve"> </w:t>
      </w:r>
    </w:p>
    <w:p w14:paraId="3B942250" w14:textId="77777777" w:rsidR="00EF2BF2" w:rsidRDefault="00817101" w:rsidP="009354D1">
      <w:pPr>
        <w:rPr>
          <w:lang w:val="en-NZ"/>
        </w:rPr>
      </w:pPr>
      <w:hyperlink r:id="rId11" w:history="1">
        <w:r w:rsidR="00EF2BF2">
          <w:rPr>
            <w:rStyle w:val="Hyperlink"/>
            <w:lang w:val="en-NZ"/>
          </w:rPr>
          <w:t>Link to MOE Website - Primary Teachers Collective Agreement</w:t>
        </w:r>
      </w:hyperlink>
      <w:r w:rsidR="00EF2BF2">
        <w:rPr>
          <w:lang w:val="en-NZ"/>
        </w:rPr>
        <w:t xml:space="preserve"> </w:t>
      </w:r>
    </w:p>
    <w:p w14:paraId="3CF52B0F" w14:textId="77777777" w:rsidR="00EF2BF2" w:rsidRDefault="00EF2BF2" w:rsidP="009354D1">
      <w:pPr>
        <w:rPr>
          <w:lang w:val="en-NZ"/>
        </w:rPr>
      </w:pPr>
    </w:p>
    <w:p w14:paraId="3650384C" w14:textId="07C51638" w:rsidR="00EF2BF2" w:rsidRPr="009354D1" w:rsidRDefault="00EF2BF2" w:rsidP="009354D1">
      <w:pPr>
        <w:rPr>
          <w:lang w:val="en-NZ"/>
        </w:rPr>
      </w:pPr>
      <w:r>
        <w:rPr>
          <w:lang w:val="en-NZ"/>
        </w:rPr>
        <w:t>Approved:</w:t>
      </w:r>
      <w:r w:rsidR="00056097">
        <w:rPr>
          <w:lang w:val="en-NZ"/>
        </w:rPr>
        <w:tab/>
      </w:r>
      <w:r w:rsidR="00817101">
        <w:rPr>
          <w:noProof/>
        </w:rPr>
        <w:drawing>
          <wp:inline distT="0" distB="0" distL="0" distR="0" wp14:anchorId="2235FF6A" wp14:editId="5CD28751">
            <wp:extent cx="1324219" cy="733425"/>
            <wp:effectExtent l="0" t="0" r="9525" b="0"/>
            <wp:docPr id="1552773083" name="Picture 1" descr="Signature of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73083" name="Picture 1" descr="Signature of Principal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680" cy="73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NZ"/>
        </w:rPr>
        <w:t>Date:</w:t>
      </w:r>
      <w:r w:rsidR="00056097">
        <w:rPr>
          <w:lang w:val="en-NZ"/>
        </w:rPr>
        <w:tab/>
      </w:r>
      <w:r w:rsidR="00817101">
        <w:rPr>
          <w:lang w:val="en-NZ"/>
        </w:rPr>
        <w:t xml:space="preserve">23 September 2024   </w:t>
      </w:r>
      <w:r>
        <w:rPr>
          <w:lang w:val="en-NZ"/>
        </w:rPr>
        <w:t>Next Review: 202</w:t>
      </w:r>
      <w:r w:rsidR="00D33DF6">
        <w:rPr>
          <w:lang w:val="en-NZ"/>
        </w:rPr>
        <w:t>7</w:t>
      </w:r>
    </w:p>
    <w:sectPr w:rsidR="00EF2BF2" w:rsidRPr="009354D1" w:rsidSect="00EF2BF2">
      <w:footerReference w:type="defaul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26979" w14:textId="77777777" w:rsidR="009354D1" w:rsidRDefault="009354D1" w:rsidP="009354D1">
      <w:pPr>
        <w:spacing w:after="0" w:line="240" w:lineRule="auto"/>
      </w:pPr>
      <w:r>
        <w:separator/>
      </w:r>
    </w:p>
  </w:endnote>
  <w:endnote w:type="continuationSeparator" w:id="0">
    <w:p w14:paraId="5322801A" w14:textId="77777777" w:rsidR="009354D1" w:rsidRDefault="009354D1" w:rsidP="0093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1A32E" w14:textId="76C2BF19" w:rsidR="009354D1" w:rsidRDefault="009354D1">
    <w:pPr>
      <w:pStyle w:val="Footer"/>
      <w:rPr>
        <w:b/>
        <w:bCs/>
        <w:lang w:val="mi-NZ"/>
      </w:rPr>
    </w:pPr>
    <w:r>
      <w:rPr>
        <w:lang w:val="mi-NZ"/>
      </w:rPr>
      <w:t xml:space="preserve">OP3-02 </w:t>
    </w:r>
    <w:r w:rsidR="00817101">
      <w:rPr>
        <w:lang w:val="mi-NZ"/>
      </w:rPr>
      <w:t xml:space="preserve">2024 </w:t>
    </w:r>
    <w:r>
      <w:rPr>
        <w:lang w:val="mi-NZ"/>
      </w:rPr>
      <w:t>Management Unit Policy</w:t>
    </w:r>
    <w:r>
      <w:rPr>
        <w:lang w:val="mi-NZ"/>
      </w:rPr>
      <w:tab/>
    </w:r>
    <w:r>
      <w:rPr>
        <w:lang w:val="mi-NZ"/>
      </w:rPr>
      <w:tab/>
    </w:r>
    <w:r w:rsidRPr="009354D1">
      <w:rPr>
        <w:lang w:val="mi-NZ"/>
      </w:rPr>
      <w:t xml:space="preserve">Page </w:t>
    </w:r>
    <w:r w:rsidRPr="009354D1">
      <w:rPr>
        <w:b/>
        <w:bCs/>
        <w:lang w:val="mi-NZ"/>
      </w:rPr>
      <w:fldChar w:fldCharType="begin"/>
    </w:r>
    <w:r w:rsidRPr="009354D1">
      <w:rPr>
        <w:b/>
        <w:bCs/>
        <w:lang w:val="mi-NZ"/>
      </w:rPr>
      <w:instrText xml:space="preserve"> PAGE  \* Arabic  \* MERGEFORMAT </w:instrText>
    </w:r>
    <w:r w:rsidRPr="009354D1">
      <w:rPr>
        <w:b/>
        <w:bCs/>
        <w:lang w:val="mi-NZ"/>
      </w:rPr>
      <w:fldChar w:fldCharType="separate"/>
    </w:r>
    <w:r w:rsidR="00056097">
      <w:rPr>
        <w:b/>
        <w:bCs/>
        <w:noProof/>
        <w:lang w:val="mi-NZ"/>
      </w:rPr>
      <w:t>2</w:t>
    </w:r>
    <w:r w:rsidRPr="009354D1">
      <w:rPr>
        <w:b/>
        <w:bCs/>
        <w:lang w:val="mi-NZ"/>
      </w:rPr>
      <w:fldChar w:fldCharType="end"/>
    </w:r>
    <w:r w:rsidRPr="009354D1">
      <w:rPr>
        <w:lang w:val="mi-NZ"/>
      </w:rPr>
      <w:t xml:space="preserve"> of </w:t>
    </w:r>
    <w:r w:rsidRPr="009354D1">
      <w:rPr>
        <w:b/>
        <w:bCs/>
        <w:lang w:val="mi-NZ"/>
      </w:rPr>
      <w:fldChar w:fldCharType="begin"/>
    </w:r>
    <w:r w:rsidRPr="009354D1">
      <w:rPr>
        <w:b/>
        <w:bCs/>
        <w:lang w:val="mi-NZ"/>
      </w:rPr>
      <w:instrText xml:space="preserve"> NUMPAGES  \* Arabic  \* MERGEFORMAT </w:instrText>
    </w:r>
    <w:r w:rsidRPr="009354D1">
      <w:rPr>
        <w:b/>
        <w:bCs/>
        <w:lang w:val="mi-NZ"/>
      </w:rPr>
      <w:fldChar w:fldCharType="separate"/>
    </w:r>
    <w:r w:rsidR="00056097">
      <w:rPr>
        <w:b/>
        <w:bCs/>
        <w:noProof/>
        <w:lang w:val="mi-NZ"/>
      </w:rPr>
      <w:t>2</w:t>
    </w:r>
    <w:r w:rsidRPr="009354D1">
      <w:rPr>
        <w:b/>
        <w:bCs/>
        <w:lang w:val="mi-NZ"/>
      </w:rPr>
      <w:fldChar w:fldCharType="end"/>
    </w:r>
  </w:p>
  <w:p w14:paraId="75ADEB82" w14:textId="6945D10A" w:rsidR="009354D1" w:rsidRPr="009354D1" w:rsidRDefault="00E416CA">
    <w:pPr>
      <w:pStyle w:val="Footer"/>
      <w:rPr>
        <w:lang w:val="mi-NZ"/>
      </w:rPr>
    </w:pPr>
    <w:r>
      <w:rPr>
        <w:bCs/>
        <w:lang w:val="mi-NZ"/>
      </w:rPr>
      <w:t>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C8D82" w14:textId="77777777" w:rsidR="009354D1" w:rsidRDefault="009354D1" w:rsidP="009354D1">
      <w:pPr>
        <w:spacing w:after="0" w:line="240" w:lineRule="auto"/>
      </w:pPr>
      <w:r>
        <w:separator/>
      </w:r>
    </w:p>
  </w:footnote>
  <w:footnote w:type="continuationSeparator" w:id="0">
    <w:p w14:paraId="5330F2C1" w14:textId="77777777" w:rsidR="009354D1" w:rsidRDefault="009354D1" w:rsidP="00935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83785"/>
    <w:multiLevelType w:val="hybridMultilevel"/>
    <w:tmpl w:val="039CCF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07491"/>
    <w:multiLevelType w:val="hybridMultilevel"/>
    <w:tmpl w:val="68EC7C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98647C"/>
    <w:multiLevelType w:val="hybridMultilevel"/>
    <w:tmpl w:val="8B1AC600"/>
    <w:lvl w:ilvl="0" w:tplc="1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DE530CA"/>
    <w:multiLevelType w:val="hybridMultilevel"/>
    <w:tmpl w:val="2BD04C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4E1C70"/>
    <w:multiLevelType w:val="hybridMultilevel"/>
    <w:tmpl w:val="4BDEF622"/>
    <w:lvl w:ilvl="0" w:tplc="140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num w:numId="1" w16cid:durableId="1177115353">
    <w:abstractNumId w:val="1"/>
  </w:num>
  <w:num w:numId="2" w16cid:durableId="277025798">
    <w:abstractNumId w:val="0"/>
  </w:num>
  <w:num w:numId="3" w16cid:durableId="1859349029">
    <w:abstractNumId w:val="3"/>
  </w:num>
  <w:num w:numId="4" w16cid:durableId="118888093">
    <w:abstractNumId w:val="4"/>
  </w:num>
  <w:num w:numId="5" w16cid:durableId="1655838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039"/>
    <w:rsid w:val="000417C5"/>
    <w:rsid w:val="00056097"/>
    <w:rsid w:val="00116C15"/>
    <w:rsid w:val="00122AEC"/>
    <w:rsid w:val="001A4F53"/>
    <w:rsid w:val="001F1ABA"/>
    <w:rsid w:val="00276E63"/>
    <w:rsid w:val="00400DED"/>
    <w:rsid w:val="00407C2F"/>
    <w:rsid w:val="0043298F"/>
    <w:rsid w:val="00447102"/>
    <w:rsid w:val="0048009E"/>
    <w:rsid w:val="004C0AB4"/>
    <w:rsid w:val="00550970"/>
    <w:rsid w:val="00573064"/>
    <w:rsid w:val="006910DF"/>
    <w:rsid w:val="006A252B"/>
    <w:rsid w:val="006C0DF0"/>
    <w:rsid w:val="00735E1B"/>
    <w:rsid w:val="00817101"/>
    <w:rsid w:val="00844039"/>
    <w:rsid w:val="00914D64"/>
    <w:rsid w:val="009328B3"/>
    <w:rsid w:val="009354D1"/>
    <w:rsid w:val="00952FAB"/>
    <w:rsid w:val="00C273CF"/>
    <w:rsid w:val="00C86E01"/>
    <w:rsid w:val="00D05EF6"/>
    <w:rsid w:val="00D33DF6"/>
    <w:rsid w:val="00E416CA"/>
    <w:rsid w:val="00EF28A8"/>
    <w:rsid w:val="00EF2BF2"/>
    <w:rsid w:val="00F019BF"/>
    <w:rsid w:val="00F1592D"/>
    <w:rsid w:val="00FC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14C65D"/>
  <w15:docId w15:val="{2979518C-B833-4EEE-8159-D3B88CDA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C2F"/>
    <w:pPr>
      <w:spacing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8009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8009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EF28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5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4D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5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4D1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33D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ucation.govt.nz/school/people-and-employment/employment-agreements/collective-agreement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ducation.govt.nz/school/funding-and-financials/resourcing/school-staff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mphee\Documents\Custom%20Office%20Templates\Accessib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03DE639A2345B315E3996B7D5C35" ma:contentTypeVersion="0" ma:contentTypeDescription="Create a new document." ma:contentTypeScope="" ma:versionID="2a26d15ba22c3b5421258e5187f1fe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9E32D-616E-4596-AF60-7C50B63CE5C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B4A4A4-3958-4282-9889-E691E810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Template</Template>
  <TotalTime>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Lamphee</dc:creator>
  <cp:lastModifiedBy>Bridget Lamphee</cp:lastModifiedBy>
  <cp:revision>2</cp:revision>
  <cp:lastPrinted>2024-09-10T02:49:00Z</cp:lastPrinted>
  <dcterms:created xsi:type="dcterms:W3CDTF">2024-09-30T00:26:00Z</dcterms:created>
  <dcterms:modified xsi:type="dcterms:W3CDTF">2024-09-30T00:26:00Z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0x010100A53503DE639A2345B315E3996B7D5C35</vt:lpwstr>
  </property>
</Properties>
</file>