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0528" w14:textId="7D24F084" w:rsidR="00B27179" w:rsidRDefault="00B27179" w:rsidP="00B27179">
      <w:pPr>
        <w:pStyle w:val="Heading1"/>
        <w:rPr>
          <w:lang w:val="en-NZ"/>
        </w:rPr>
      </w:pPr>
      <w:r>
        <w:rPr>
          <w:lang w:val="en-NZ"/>
        </w:rPr>
        <w:t xml:space="preserve">Operational Policy: </w:t>
      </w:r>
      <w:r w:rsidR="0047745E">
        <w:rPr>
          <w:lang w:val="en-NZ"/>
        </w:rPr>
        <w:t>Purchasing Policy</w:t>
      </w:r>
      <w:r>
        <w:rPr>
          <w:lang w:val="en-NZ"/>
        </w:rPr>
        <w:t xml:space="preserve"> (</w:t>
      </w:r>
      <w:r w:rsidR="00564872">
        <w:rPr>
          <w:lang w:val="en-NZ"/>
        </w:rPr>
        <w:t xml:space="preserve">Finance </w:t>
      </w:r>
      <w:r>
        <w:rPr>
          <w:lang w:val="en-NZ"/>
        </w:rPr>
        <w:t>4)</w:t>
      </w:r>
    </w:p>
    <w:p w14:paraId="7A5A81DA" w14:textId="20B64352" w:rsidR="00B27179" w:rsidRDefault="00CD27D1" w:rsidP="006D3100">
      <w:pPr>
        <w:pStyle w:val="Heading2"/>
        <w:rPr>
          <w:lang w:val="en-NZ"/>
        </w:rPr>
      </w:pPr>
      <w:r>
        <w:rPr>
          <w:lang w:val="en-NZ"/>
        </w:rPr>
        <w:t>Blind &amp; Low Vision Education Network NZ</w:t>
      </w:r>
    </w:p>
    <w:p w14:paraId="7D348D90" w14:textId="77777777" w:rsidR="00B27179" w:rsidRDefault="00B27179" w:rsidP="0066536A">
      <w:pPr>
        <w:pStyle w:val="Heading2"/>
        <w:rPr>
          <w:lang w:val="en-NZ"/>
        </w:rPr>
      </w:pPr>
      <w:r>
        <w:rPr>
          <w:lang w:val="en-NZ"/>
        </w:rPr>
        <w:t>Statement of Intent:</w:t>
      </w:r>
    </w:p>
    <w:p w14:paraId="6427D9CD" w14:textId="73D3B839" w:rsidR="00C5657E" w:rsidRDefault="00C5657E" w:rsidP="0066536A">
      <w:pPr>
        <w:rPr>
          <w:lang w:val="en-NZ"/>
        </w:rPr>
      </w:pPr>
      <w:r>
        <w:rPr>
          <w:lang w:val="en-NZ"/>
        </w:rPr>
        <w:t>The Blind &amp; Low Vision Education Network NZ (BLENNZ) has a responsibility to ensure consistency of practice</w:t>
      </w:r>
      <w:r w:rsidR="00765CF3">
        <w:rPr>
          <w:lang w:val="en-NZ"/>
        </w:rPr>
        <w:t>, value for money,</w:t>
      </w:r>
      <w:r>
        <w:rPr>
          <w:lang w:val="en-NZ"/>
        </w:rPr>
        <w:t xml:space="preserve"> and a clear audit trail for goods and services purchased on behalf of BLENNZ.</w:t>
      </w:r>
    </w:p>
    <w:p w14:paraId="11FC67B0" w14:textId="2D76904B" w:rsidR="00434FC6" w:rsidRPr="00026013" w:rsidRDefault="000713AD" w:rsidP="00434FC6">
      <w:pPr>
        <w:rPr>
          <w:lang w:val="en-NZ"/>
        </w:rPr>
      </w:pPr>
      <w:r w:rsidRPr="6350C6BA">
        <w:rPr>
          <w:lang w:val="en-NZ"/>
        </w:rPr>
        <w:t>BLENNZ will ende</w:t>
      </w:r>
      <w:r w:rsidR="24EA18B0" w:rsidRPr="6350C6BA">
        <w:rPr>
          <w:lang w:val="en-NZ"/>
        </w:rPr>
        <w:t>a</w:t>
      </w:r>
      <w:r w:rsidRPr="6350C6BA">
        <w:rPr>
          <w:lang w:val="en-NZ"/>
        </w:rPr>
        <w:t xml:space="preserve">vour to be an ethically considerate employer. </w:t>
      </w:r>
      <w:r w:rsidR="0040014A" w:rsidRPr="6350C6BA">
        <w:rPr>
          <w:lang w:val="en-NZ"/>
        </w:rPr>
        <w:t xml:space="preserve">Wherever possible all purchases will be made through companies </w:t>
      </w:r>
      <w:r w:rsidR="0097675D">
        <w:t>that are noted for their commitment to ethical practices and social responsibility.</w:t>
      </w:r>
      <w:r w:rsidR="00434FC6">
        <w:t xml:space="preserve"> </w:t>
      </w:r>
    </w:p>
    <w:p w14:paraId="67DB7D7D" w14:textId="77777777" w:rsidR="0047745E" w:rsidRDefault="00C5657E" w:rsidP="0066536A">
      <w:pPr>
        <w:rPr>
          <w:lang w:val="en-NZ"/>
        </w:rPr>
      </w:pPr>
      <w:r>
        <w:rPr>
          <w:lang w:val="en-NZ"/>
        </w:rPr>
        <w:t xml:space="preserve">The Board has delegated responsibility for the implementation and monitoring of this policy to the </w:t>
      </w:r>
      <w:proofErr w:type="gramStart"/>
      <w:r>
        <w:rPr>
          <w:lang w:val="en-NZ"/>
        </w:rPr>
        <w:t>Principal</w:t>
      </w:r>
      <w:proofErr w:type="gramEnd"/>
      <w:r>
        <w:rPr>
          <w:lang w:val="en-NZ"/>
        </w:rPr>
        <w:t xml:space="preserve">. The </w:t>
      </w:r>
      <w:proofErr w:type="gramStart"/>
      <w:r>
        <w:rPr>
          <w:lang w:val="en-NZ"/>
        </w:rPr>
        <w:t>Principal</w:t>
      </w:r>
      <w:proofErr w:type="gramEnd"/>
      <w:r>
        <w:rPr>
          <w:lang w:val="en-NZ"/>
        </w:rPr>
        <w:t xml:space="preserve"> may further delegate some of this responsibility, with all such delegations being set out in the Board’s Delegation Policy.</w:t>
      </w:r>
    </w:p>
    <w:p w14:paraId="02792A54" w14:textId="79D0F4A3" w:rsidR="00C5657E" w:rsidRPr="0047745E" w:rsidRDefault="00765CF3" w:rsidP="0066536A">
      <w:pPr>
        <w:rPr>
          <w:lang w:val="en-NZ"/>
        </w:rPr>
      </w:pPr>
      <w:r>
        <w:rPr>
          <w:lang w:val="en-NZ"/>
        </w:rPr>
        <w:t>BLENNZ is a signatory to the All of Government (</w:t>
      </w:r>
      <w:proofErr w:type="spellStart"/>
      <w:r>
        <w:rPr>
          <w:lang w:val="en-NZ"/>
        </w:rPr>
        <w:t>AoG</w:t>
      </w:r>
      <w:proofErr w:type="spellEnd"/>
      <w:r>
        <w:rPr>
          <w:lang w:val="en-NZ"/>
        </w:rPr>
        <w:t>) scheme and</w:t>
      </w:r>
      <w:r w:rsidR="00323818">
        <w:rPr>
          <w:lang w:val="en-NZ"/>
        </w:rPr>
        <w:t xml:space="preserve"> currently has </w:t>
      </w:r>
      <w:proofErr w:type="spellStart"/>
      <w:r w:rsidR="00323818">
        <w:rPr>
          <w:lang w:val="en-NZ"/>
        </w:rPr>
        <w:t>AoG</w:t>
      </w:r>
      <w:proofErr w:type="spellEnd"/>
      <w:r w:rsidR="00323818">
        <w:rPr>
          <w:lang w:val="en-NZ"/>
        </w:rPr>
        <w:t xml:space="preserve"> contracts for travel, lease vehicles, </w:t>
      </w:r>
      <w:r w:rsidR="00B45B72">
        <w:rPr>
          <w:lang w:val="en-NZ"/>
        </w:rPr>
        <w:t xml:space="preserve">rental vehicles, electricity, </w:t>
      </w:r>
      <w:r w:rsidR="00AC287D">
        <w:rPr>
          <w:lang w:val="en-NZ"/>
        </w:rPr>
        <w:t xml:space="preserve">photocopying, banking and office supplies. </w:t>
      </w:r>
    </w:p>
    <w:p w14:paraId="7D597C2E" w14:textId="77777777" w:rsidR="00431DCF" w:rsidRDefault="00431DCF" w:rsidP="0066536A">
      <w:pPr>
        <w:pStyle w:val="Heading2"/>
        <w:rPr>
          <w:lang w:val="en-NZ"/>
        </w:rPr>
      </w:pPr>
      <w:r>
        <w:rPr>
          <w:lang w:val="en-NZ"/>
        </w:rPr>
        <w:t>Policy Requirements:</w:t>
      </w:r>
    </w:p>
    <w:p w14:paraId="6CFDDC3C" w14:textId="218C8861" w:rsidR="009A2E8D" w:rsidRDefault="00431DCF" w:rsidP="0066536A">
      <w:pPr>
        <w:ind w:left="720" w:hanging="720"/>
        <w:rPr>
          <w:lang w:val="en-NZ"/>
        </w:rPr>
      </w:pPr>
      <w:r>
        <w:rPr>
          <w:lang w:val="en-NZ"/>
        </w:rPr>
        <w:t>1.</w:t>
      </w:r>
      <w:r>
        <w:rPr>
          <w:lang w:val="en-NZ"/>
        </w:rPr>
        <w:tab/>
      </w:r>
      <w:r w:rsidR="00C5657E">
        <w:rPr>
          <w:lang w:val="en-NZ"/>
        </w:rPr>
        <w:t>All expenditure must be in accordance with BLENNZ policies and be within the Board approved budget for the respective financial year.</w:t>
      </w:r>
      <w:r w:rsidR="00765CF3">
        <w:rPr>
          <w:lang w:val="en-NZ"/>
        </w:rPr>
        <w:t xml:space="preserve"> If the expenditure has not been included in the approved </w:t>
      </w:r>
      <w:proofErr w:type="gramStart"/>
      <w:r w:rsidR="00765CF3">
        <w:rPr>
          <w:lang w:val="en-NZ"/>
        </w:rPr>
        <w:t>budget</w:t>
      </w:r>
      <w:proofErr w:type="gramEnd"/>
      <w:r w:rsidR="00765CF3">
        <w:rPr>
          <w:lang w:val="en-NZ"/>
        </w:rPr>
        <w:t xml:space="preserve"> then the expenditure will require further approval within delegated authority.</w:t>
      </w:r>
    </w:p>
    <w:p w14:paraId="61F6CD60" w14:textId="77777777" w:rsidR="00C5657E" w:rsidRDefault="00C5657E" w:rsidP="0066536A">
      <w:pPr>
        <w:ind w:left="720" w:hanging="720"/>
        <w:rPr>
          <w:lang w:val="en-NZ"/>
        </w:rPr>
      </w:pPr>
      <w:r>
        <w:rPr>
          <w:lang w:val="en-NZ"/>
        </w:rPr>
        <w:t>2.</w:t>
      </w:r>
      <w:r>
        <w:rPr>
          <w:lang w:val="en-NZ"/>
        </w:rPr>
        <w:tab/>
        <w:t>Approval for purchases must not exceed delegated authority</w:t>
      </w:r>
      <w:r w:rsidR="009B3A9C">
        <w:rPr>
          <w:lang w:val="en-NZ"/>
        </w:rPr>
        <w:t xml:space="preserve"> as per annual Letters of Delegation</w:t>
      </w:r>
      <w:r>
        <w:rPr>
          <w:lang w:val="en-NZ"/>
        </w:rPr>
        <w:t>.</w:t>
      </w:r>
    </w:p>
    <w:p w14:paraId="5431C526" w14:textId="368287BC" w:rsidR="00C5657E" w:rsidRDefault="005832AD" w:rsidP="0066536A">
      <w:pPr>
        <w:ind w:left="720" w:hanging="720"/>
        <w:rPr>
          <w:lang w:val="en-NZ"/>
        </w:rPr>
      </w:pPr>
      <w:r>
        <w:rPr>
          <w:lang w:val="en-NZ"/>
        </w:rPr>
        <w:t>3</w:t>
      </w:r>
      <w:r w:rsidR="00C5657E">
        <w:rPr>
          <w:lang w:val="en-NZ"/>
        </w:rPr>
        <w:t>.</w:t>
      </w:r>
      <w:r w:rsidR="00C5657E">
        <w:rPr>
          <w:lang w:val="en-NZ"/>
        </w:rPr>
        <w:tab/>
        <w:t xml:space="preserve">Approval for capital expenditure must be sought during the annual budget cycle. If necessary, re-prioritisation of capital expenditure may occur up to delegated authority. </w:t>
      </w:r>
      <w:r w:rsidR="00056B26">
        <w:rPr>
          <w:lang w:val="en-NZ"/>
        </w:rPr>
        <w:t>All i</w:t>
      </w:r>
      <w:r w:rsidR="009B3A9C">
        <w:rPr>
          <w:lang w:val="en-NZ"/>
        </w:rPr>
        <w:t xml:space="preserve">nvoices for capital expenditure </w:t>
      </w:r>
      <w:r w:rsidR="006E52D7">
        <w:rPr>
          <w:lang w:val="en-NZ"/>
        </w:rPr>
        <w:t xml:space="preserve">($500 and over) </w:t>
      </w:r>
      <w:r w:rsidR="009B3A9C">
        <w:rPr>
          <w:lang w:val="en-NZ"/>
        </w:rPr>
        <w:t xml:space="preserve">must be sent to </w:t>
      </w:r>
      <w:r w:rsidR="00056B26">
        <w:rPr>
          <w:lang w:val="en-NZ"/>
        </w:rPr>
        <w:t>the Business Manager for payment.</w:t>
      </w:r>
      <w:r w:rsidR="006E52D7">
        <w:rPr>
          <w:lang w:val="en-NZ"/>
        </w:rPr>
        <w:t xml:space="preserve"> Capital expenditure is defined as “a</w:t>
      </w:r>
      <w:proofErr w:type="spellStart"/>
      <w:r w:rsidR="006E52D7" w:rsidRPr="00C20162">
        <w:rPr>
          <w:rFonts w:cs="Arial"/>
          <w:bCs/>
        </w:rPr>
        <w:t>ll</w:t>
      </w:r>
      <w:proofErr w:type="spellEnd"/>
      <w:r w:rsidR="006E52D7" w:rsidRPr="00C20162">
        <w:rPr>
          <w:rFonts w:cs="Arial"/>
          <w:bCs/>
        </w:rPr>
        <w:t xml:space="preserve"> loose items of teaching, administrative and maintenance equipment which could not be regarded as </w:t>
      </w:r>
      <w:r w:rsidR="006E52D7">
        <w:rPr>
          <w:rFonts w:cs="Arial"/>
          <w:bCs/>
        </w:rPr>
        <w:t xml:space="preserve">a </w:t>
      </w:r>
      <w:r w:rsidR="006E52D7" w:rsidRPr="00C20162">
        <w:rPr>
          <w:rFonts w:cs="Arial"/>
          <w:bCs/>
        </w:rPr>
        <w:t>consumable</w:t>
      </w:r>
      <w:r w:rsidR="006E52D7">
        <w:rPr>
          <w:rFonts w:cs="Arial"/>
          <w:bCs/>
        </w:rPr>
        <w:t>”. Capital does not include items such as keyboards, mice etc. These are consumables. Further information on capital expenditure can be found in the Asset Capitalisation Policy (Board Policy 4-2).</w:t>
      </w:r>
    </w:p>
    <w:p w14:paraId="14652484" w14:textId="6C249515" w:rsidR="00C5657E" w:rsidRDefault="005832AD" w:rsidP="0066536A">
      <w:pPr>
        <w:ind w:left="720" w:hanging="720"/>
        <w:rPr>
          <w:lang w:val="en-NZ"/>
        </w:rPr>
      </w:pPr>
      <w:r>
        <w:rPr>
          <w:lang w:val="en-NZ"/>
        </w:rPr>
        <w:lastRenderedPageBreak/>
        <w:t>4</w:t>
      </w:r>
      <w:r w:rsidR="00C5657E">
        <w:rPr>
          <w:lang w:val="en-NZ"/>
        </w:rPr>
        <w:t>.</w:t>
      </w:r>
      <w:r w:rsidR="00C5657E">
        <w:rPr>
          <w:lang w:val="en-NZ"/>
        </w:rPr>
        <w:tab/>
        <w:t xml:space="preserve">IT </w:t>
      </w:r>
      <w:r w:rsidR="005B3926">
        <w:rPr>
          <w:lang w:val="en-NZ"/>
        </w:rPr>
        <w:t>equipment and services</w:t>
      </w:r>
      <w:r w:rsidR="00C5657E">
        <w:rPr>
          <w:lang w:val="en-NZ"/>
        </w:rPr>
        <w:t xml:space="preserve"> must be purchased </w:t>
      </w:r>
      <w:r>
        <w:rPr>
          <w:lang w:val="en-NZ"/>
        </w:rPr>
        <w:t>in consultation with</w:t>
      </w:r>
      <w:r w:rsidR="00C5657E">
        <w:rPr>
          <w:lang w:val="en-NZ"/>
        </w:rPr>
        <w:t xml:space="preserve"> the </w:t>
      </w:r>
      <w:r w:rsidR="0066536A">
        <w:rPr>
          <w:lang w:val="en-NZ"/>
        </w:rPr>
        <w:t xml:space="preserve">Digital Practice </w:t>
      </w:r>
      <w:proofErr w:type="gramStart"/>
      <w:r w:rsidR="0066536A">
        <w:rPr>
          <w:lang w:val="en-NZ"/>
        </w:rPr>
        <w:t>Lead</w:t>
      </w:r>
      <w:proofErr w:type="gramEnd"/>
      <w:r w:rsidR="00C5657E">
        <w:rPr>
          <w:lang w:val="en-NZ"/>
        </w:rPr>
        <w:t xml:space="preserve"> to ensure </w:t>
      </w:r>
      <w:proofErr w:type="spellStart"/>
      <w:r w:rsidR="00C5657E">
        <w:rPr>
          <w:lang w:val="en-NZ"/>
        </w:rPr>
        <w:t>compatability</w:t>
      </w:r>
      <w:proofErr w:type="spellEnd"/>
      <w:r w:rsidR="00C5657E">
        <w:rPr>
          <w:lang w:val="en-NZ"/>
        </w:rPr>
        <w:t xml:space="preserve"> with </w:t>
      </w:r>
      <w:r w:rsidR="005B3926">
        <w:rPr>
          <w:lang w:val="en-NZ"/>
        </w:rPr>
        <w:t>current BLENNZ equipment and its network.</w:t>
      </w:r>
    </w:p>
    <w:p w14:paraId="137F6D11" w14:textId="24560F80" w:rsidR="001A30A4" w:rsidRDefault="005832AD" w:rsidP="006D3100">
      <w:pPr>
        <w:ind w:left="720" w:hanging="720"/>
        <w:rPr>
          <w:lang w:val="en-NZ"/>
        </w:rPr>
      </w:pPr>
      <w:r>
        <w:rPr>
          <w:lang w:val="en-NZ"/>
        </w:rPr>
        <w:t>5</w:t>
      </w:r>
      <w:r w:rsidR="00C5657E">
        <w:rPr>
          <w:lang w:val="en-NZ"/>
        </w:rPr>
        <w:t>.</w:t>
      </w:r>
      <w:r w:rsidR="00C5657E">
        <w:rPr>
          <w:lang w:val="en-NZ"/>
        </w:rPr>
        <w:tab/>
        <w:t xml:space="preserve">Wherever possible specific goods and services should be purchased </w:t>
      </w:r>
      <w:r w:rsidR="00765CF3">
        <w:rPr>
          <w:lang w:val="en-NZ"/>
        </w:rPr>
        <w:t>from suitable and/or approved suppliers</w:t>
      </w:r>
      <w:r w:rsidR="00C5657E">
        <w:rPr>
          <w:lang w:val="en-NZ"/>
        </w:rPr>
        <w:t xml:space="preserve"> with whom BLENNZ has an account. Where there is not a previously approved supplier, </w:t>
      </w:r>
      <w:r w:rsidR="009B3A9C">
        <w:rPr>
          <w:lang w:val="en-NZ"/>
        </w:rPr>
        <w:t xml:space="preserve">where possible </w:t>
      </w:r>
      <w:r w:rsidR="008D64FA">
        <w:rPr>
          <w:lang w:val="en-NZ"/>
        </w:rPr>
        <w:t>a minimum of two quotes</w:t>
      </w:r>
      <w:r w:rsidR="00B30E61">
        <w:rPr>
          <w:lang w:val="en-NZ"/>
        </w:rPr>
        <w:t xml:space="preserve"> for individual goods above $</w:t>
      </w:r>
      <w:r w:rsidR="009B3A9C">
        <w:rPr>
          <w:lang w:val="en-NZ"/>
        </w:rPr>
        <w:t>1000</w:t>
      </w:r>
      <w:r w:rsidR="00C5657E">
        <w:rPr>
          <w:lang w:val="en-NZ"/>
        </w:rPr>
        <w:t xml:space="preserve"> should be obtained.</w:t>
      </w:r>
      <w:r w:rsidR="00BC4320">
        <w:rPr>
          <w:lang w:val="en-NZ"/>
        </w:rPr>
        <w:t xml:space="preserve"> </w:t>
      </w:r>
    </w:p>
    <w:p w14:paraId="07368A0A" w14:textId="389086D7" w:rsidR="00C5657E" w:rsidRDefault="001A30A4" w:rsidP="0066536A">
      <w:pPr>
        <w:ind w:left="720" w:hanging="720"/>
        <w:rPr>
          <w:lang w:val="en-NZ"/>
        </w:rPr>
      </w:pPr>
      <w:r>
        <w:rPr>
          <w:lang w:val="en-NZ"/>
        </w:rPr>
        <w:t>6.</w:t>
      </w:r>
      <w:r>
        <w:rPr>
          <w:lang w:val="en-NZ"/>
        </w:rPr>
        <w:tab/>
        <w:t xml:space="preserve">If goods are being purchased online, reputable </w:t>
      </w:r>
      <w:r w:rsidR="006A74C5">
        <w:rPr>
          <w:lang w:val="en-NZ"/>
        </w:rPr>
        <w:t>web</w:t>
      </w:r>
      <w:r>
        <w:rPr>
          <w:lang w:val="en-NZ"/>
        </w:rPr>
        <w:t xml:space="preserve">sites with </w:t>
      </w:r>
      <w:r w:rsidR="00F527F2">
        <w:rPr>
          <w:lang w:val="en-NZ"/>
        </w:rPr>
        <w:t>secure</w:t>
      </w:r>
      <w:r w:rsidR="00A10A49">
        <w:rPr>
          <w:lang w:val="en-NZ"/>
        </w:rPr>
        <w:t xml:space="preserve"> payment methods</w:t>
      </w:r>
      <w:r w:rsidR="004A52D8">
        <w:rPr>
          <w:lang w:val="en-NZ"/>
        </w:rPr>
        <w:t xml:space="preserve"> must be used</w:t>
      </w:r>
      <w:r w:rsidR="008C4115">
        <w:rPr>
          <w:lang w:val="en-NZ"/>
        </w:rPr>
        <w:t xml:space="preserve"> following the checking process below:</w:t>
      </w:r>
    </w:p>
    <w:p w14:paraId="5C98D333" w14:textId="1E4858AC" w:rsidR="00FF5211" w:rsidRPr="00FF5211" w:rsidRDefault="00FF5211" w:rsidP="008C4115">
      <w:pPr>
        <w:ind w:left="720"/>
        <w:rPr>
          <w:lang w:val="en-NZ"/>
        </w:rPr>
      </w:pPr>
      <w:r w:rsidRPr="00FF5211">
        <w:rPr>
          <w:lang w:val="en-NZ"/>
        </w:rPr>
        <w:t xml:space="preserve">Check to see if a website has an </w:t>
      </w:r>
      <w:r w:rsidR="008C4115">
        <w:rPr>
          <w:lang w:val="en-NZ"/>
        </w:rPr>
        <w:t>SSL</w:t>
      </w:r>
      <w:r w:rsidRPr="00FF5211">
        <w:rPr>
          <w:lang w:val="en-NZ"/>
        </w:rPr>
        <w:t>: look at the address bar when you visit a site. You should see:</w:t>
      </w:r>
    </w:p>
    <w:p w14:paraId="6DEB298F" w14:textId="77777777" w:rsidR="00FF5211" w:rsidRPr="00FF5211" w:rsidRDefault="00FF5211" w:rsidP="00FF5211">
      <w:pPr>
        <w:numPr>
          <w:ilvl w:val="0"/>
          <w:numId w:val="8"/>
        </w:numPr>
        <w:rPr>
          <w:lang w:val="en-NZ"/>
        </w:rPr>
      </w:pPr>
      <w:r w:rsidRPr="00FF5211">
        <w:rPr>
          <w:b/>
          <w:bCs/>
          <w:lang w:val="en-NZ"/>
        </w:rPr>
        <w:t>“</w:t>
      </w:r>
      <w:proofErr w:type="gramStart"/>
      <w:r w:rsidRPr="00FF5211">
        <w:rPr>
          <w:b/>
          <w:bCs/>
          <w:lang w:val="en-NZ"/>
        </w:rPr>
        <w:t>https</w:t>
      </w:r>
      <w:proofErr w:type="gramEnd"/>
      <w:r w:rsidRPr="00FF5211">
        <w:rPr>
          <w:b/>
          <w:bCs/>
          <w:lang w:val="en-NZ"/>
        </w:rPr>
        <w:t>://” at the beginning of the URL.</w:t>
      </w:r>
      <w:r w:rsidRPr="00FF5211">
        <w:rPr>
          <w:lang w:val="en-NZ"/>
        </w:rPr>
        <w:t> The “s” at the end of the http means “secure.”</w:t>
      </w:r>
    </w:p>
    <w:p w14:paraId="71A65193" w14:textId="77777777" w:rsidR="00FF5211" w:rsidRPr="00FF5211" w:rsidRDefault="00FF5211" w:rsidP="00FF5211">
      <w:pPr>
        <w:numPr>
          <w:ilvl w:val="0"/>
          <w:numId w:val="8"/>
        </w:numPr>
        <w:rPr>
          <w:lang w:val="en-NZ"/>
        </w:rPr>
      </w:pPr>
      <w:r w:rsidRPr="00FF5211">
        <w:rPr>
          <w:b/>
          <w:bCs/>
          <w:lang w:val="en-NZ"/>
        </w:rPr>
        <w:t xml:space="preserve">A lock icon on the </w:t>
      </w:r>
      <w:proofErr w:type="gramStart"/>
      <w:r w:rsidRPr="00FF5211">
        <w:rPr>
          <w:b/>
          <w:bCs/>
          <w:lang w:val="en-NZ"/>
        </w:rPr>
        <w:t>far left</w:t>
      </w:r>
      <w:proofErr w:type="gramEnd"/>
      <w:r w:rsidRPr="00FF5211">
        <w:rPr>
          <w:b/>
          <w:bCs/>
          <w:lang w:val="en-NZ"/>
        </w:rPr>
        <w:t xml:space="preserve"> side of the address bar.</w:t>
      </w:r>
      <w:r w:rsidRPr="00FF5211">
        <w:rPr>
          <w:lang w:val="en-NZ"/>
        </w:rPr>
        <w:t> This lock signifies a secure connection between you and the site. Click on the lock for more details about the website’s security.</w:t>
      </w:r>
    </w:p>
    <w:p w14:paraId="7DD55025" w14:textId="369F8566" w:rsidR="008C4115" w:rsidRDefault="00FF5211" w:rsidP="00677536">
      <w:pPr>
        <w:ind w:left="720"/>
        <w:rPr>
          <w:lang w:val="en-NZ"/>
        </w:rPr>
      </w:pPr>
      <w:r w:rsidRPr="00FF5211">
        <w:rPr>
          <w:lang w:val="en-NZ"/>
        </w:rPr>
        <w:t>If a site doesn’t have an SSL, it doesn’t necessarily mean it is unsafe. It could mean that it’s OK to browse that site, but it may not be safe to share any personal information.</w:t>
      </w:r>
    </w:p>
    <w:p w14:paraId="7D93FEC3" w14:textId="59CFFC74" w:rsidR="00333F24" w:rsidRPr="00333F24" w:rsidRDefault="00333F24" w:rsidP="00333F24">
      <w:pPr>
        <w:ind w:left="720"/>
        <w:rPr>
          <w:lang w:val="en-NZ"/>
        </w:rPr>
      </w:pPr>
      <w:r>
        <w:rPr>
          <w:lang w:val="en-NZ"/>
        </w:rPr>
        <w:t xml:space="preserve">Sites that offer payment by PayPal can also be used. </w:t>
      </w:r>
      <w:r w:rsidRPr="00333F24">
        <w:rPr>
          <w:lang w:val="en-NZ"/>
        </w:rPr>
        <w:t xml:space="preserve">If PayPal is offered </w:t>
      </w:r>
      <w:r>
        <w:rPr>
          <w:lang w:val="en-NZ"/>
        </w:rPr>
        <w:t>this offers the opportunity of working directly</w:t>
      </w:r>
      <w:r w:rsidRPr="00333F24">
        <w:rPr>
          <w:lang w:val="en-NZ"/>
        </w:rPr>
        <w:t xml:space="preserve"> through them for a refund if anything goes wrong.</w:t>
      </w:r>
    </w:p>
    <w:p w14:paraId="4A20F805" w14:textId="06BDBEBA" w:rsidR="001D108F" w:rsidRDefault="00F02D91" w:rsidP="001D108F">
      <w:pPr>
        <w:ind w:left="720" w:hanging="720"/>
        <w:rPr>
          <w:lang w:val="en-NZ"/>
        </w:rPr>
      </w:pPr>
      <w:r>
        <w:rPr>
          <w:lang w:val="en-NZ"/>
        </w:rPr>
        <w:t>7</w:t>
      </w:r>
      <w:r w:rsidR="00C5657E">
        <w:rPr>
          <w:lang w:val="en-NZ"/>
        </w:rPr>
        <w:t>.</w:t>
      </w:r>
      <w:r w:rsidR="00C5657E">
        <w:rPr>
          <w:lang w:val="en-NZ"/>
        </w:rPr>
        <w:tab/>
      </w:r>
      <w:r w:rsidR="00677536">
        <w:rPr>
          <w:lang w:val="en-NZ"/>
        </w:rPr>
        <w:t xml:space="preserve">Extra care </w:t>
      </w:r>
      <w:proofErr w:type="gramStart"/>
      <w:r w:rsidR="004D4073">
        <w:rPr>
          <w:lang w:val="en-NZ"/>
        </w:rPr>
        <w:t>are must be</w:t>
      </w:r>
      <w:proofErr w:type="gramEnd"/>
      <w:r w:rsidR="004D4073">
        <w:rPr>
          <w:lang w:val="en-NZ"/>
        </w:rPr>
        <w:t xml:space="preserve"> taken when making purchases </w:t>
      </w:r>
      <w:r w:rsidR="00AE2180">
        <w:rPr>
          <w:lang w:val="en-NZ"/>
        </w:rPr>
        <w:t xml:space="preserve">from overseas. </w:t>
      </w:r>
      <w:r w:rsidR="00B94812">
        <w:rPr>
          <w:lang w:val="en-NZ"/>
        </w:rPr>
        <w:t>The use of a BLENNZ visa card to purchase overseas goods online must have prior approval from the line manager</w:t>
      </w:r>
      <w:r w:rsidR="006E52D7">
        <w:rPr>
          <w:lang w:val="en-NZ"/>
        </w:rPr>
        <w:t xml:space="preserve"> unless approval is covered within Letters of Delegation.</w:t>
      </w:r>
    </w:p>
    <w:p w14:paraId="525A49F2" w14:textId="79A5F8D4" w:rsidR="00C5657E" w:rsidRDefault="00F02D91" w:rsidP="0066536A">
      <w:pPr>
        <w:ind w:left="720" w:hanging="720"/>
        <w:rPr>
          <w:lang w:val="en-NZ"/>
        </w:rPr>
      </w:pPr>
      <w:r>
        <w:rPr>
          <w:lang w:val="en-NZ"/>
        </w:rPr>
        <w:t>8</w:t>
      </w:r>
      <w:r w:rsidR="009369E2">
        <w:rPr>
          <w:lang w:val="en-NZ"/>
        </w:rPr>
        <w:t>.</w:t>
      </w:r>
      <w:r w:rsidR="009369E2">
        <w:rPr>
          <w:lang w:val="en-NZ"/>
        </w:rPr>
        <w:tab/>
      </w:r>
      <w:r w:rsidR="00C5657E">
        <w:rPr>
          <w:lang w:val="en-NZ"/>
        </w:rPr>
        <w:t xml:space="preserve">Staff are not permitted to purchase goods or services from a company in which they have an interest, or which </w:t>
      </w:r>
      <w:proofErr w:type="gramStart"/>
      <w:r w:rsidR="00C5657E">
        <w:rPr>
          <w:lang w:val="en-NZ"/>
        </w:rPr>
        <w:t>are connected with</w:t>
      </w:r>
      <w:proofErr w:type="gramEnd"/>
      <w:r w:rsidR="00C5657E">
        <w:rPr>
          <w:lang w:val="en-NZ"/>
        </w:rPr>
        <w:t xml:space="preserve"> family or friends, without first gaining approval to do so from their Senior Manager or Principal. Any conflict of interest must be declared.</w:t>
      </w:r>
    </w:p>
    <w:p w14:paraId="6CD3981C" w14:textId="2F442A07" w:rsidR="00A44878" w:rsidRDefault="00F02D91" w:rsidP="0066536A">
      <w:pPr>
        <w:ind w:left="720" w:hanging="720"/>
        <w:rPr>
          <w:lang w:val="en-NZ"/>
        </w:rPr>
      </w:pPr>
      <w:r>
        <w:rPr>
          <w:lang w:val="en-NZ"/>
        </w:rPr>
        <w:t>9</w:t>
      </w:r>
      <w:r w:rsidR="00A44878">
        <w:rPr>
          <w:lang w:val="en-NZ"/>
        </w:rPr>
        <w:t>.</w:t>
      </w:r>
      <w:r w:rsidR="00A44878">
        <w:rPr>
          <w:lang w:val="en-NZ"/>
        </w:rPr>
        <w:tab/>
      </w:r>
      <w:r w:rsidR="00214603">
        <w:rPr>
          <w:lang w:val="en-NZ"/>
        </w:rPr>
        <w:t>Wherever possible there should</w:t>
      </w:r>
      <w:r w:rsidR="00A44878">
        <w:rPr>
          <w:lang w:val="en-NZ"/>
        </w:rPr>
        <w:t xml:space="preserve"> be adequate segregation of duties between employees responsible for the processing of accounts payable transactions and employees responsible for the payments to suppliers.</w:t>
      </w:r>
    </w:p>
    <w:p w14:paraId="0C7F6A27" w14:textId="3FFCDD01" w:rsidR="005832AD" w:rsidRDefault="00F02D91" w:rsidP="0066536A">
      <w:pPr>
        <w:ind w:left="720" w:hanging="720"/>
        <w:rPr>
          <w:lang w:val="en-NZ"/>
        </w:rPr>
      </w:pPr>
      <w:r>
        <w:rPr>
          <w:lang w:val="en-NZ"/>
        </w:rPr>
        <w:t>10</w:t>
      </w:r>
      <w:r w:rsidR="005832AD">
        <w:rPr>
          <w:lang w:val="en-NZ"/>
        </w:rPr>
        <w:t>.</w:t>
      </w:r>
      <w:r w:rsidR="005832AD">
        <w:rPr>
          <w:lang w:val="en-NZ"/>
        </w:rPr>
        <w:tab/>
      </w:r>
      <w:r w:rsidR="00214603">
        <w:rPr>
          <w:lang w:val="en-NZ"/>
        </w:rPr>
        <w:t>O</w:t>
      </w:r>
      <w:r w:rsidR="005832AD">
        <w:rPr>
          <w:lang w:val="en-NZ"/>
        </w:rPr>
        <w:t xml:space="preserve">rder forms should be used </w:t>
      </w:r>
      <w:r w:rsidR="00C46C35">
        <w:rPr>
          <w:lang w:val="en-NZ"/>
        </w:rPr>
        <w:t xml:space="preserve">where available </w:t>
      </w:r>
      <w:r w:rsidR="005832AD">
        <w:rPr>
          <w:lang w:val="en-NZ"/>
        </w:rPr>
        <w:t xml:space="preserve">and checked off against invoices to ensure invoices relate to the goods and services </w:t>
      </w:r>
      <w:proofErr w:type="gramStart"/>
      <w:r w:rsidR="005832AD">
        <w:rPr>
          <w:lang w:val="en-NZ"/>
        </w:rPr>
        <w:t>actually received</w:t>
      </w:r>
      <w:proofErr w:type="gramEnd"/>
      <w:r w:rsidR="005832AD">
        <w:rPr>
          <w:lang w:val="en-NZ"/>
        </w:rPr>
        <w:t>.</w:t>
      </w:r>
    </w:p>
    <w:p w14:paraId="2A34B494" w14:textId="04D5F7AE" w:rsidR="00C5657E" w:rsidRDefault="009369E2" w:rsidP="006D3100">
      <w:pPr>
        <w:ind w:left="720" w:hanging="720"/>
        <w:rPr>
          <w:lang w:val="en-NZ"/>
        </w:rPr>
      </w:pPr>
      <w:r>
        <w:rPr>
          <w:lang w:val="en-NZ"/>
        </w:rPr>
        <w:lastRenderedPageBreak/>
        <w:t>1</w:t>
      </w:r>
      <w:r w:rsidR="00F02D91">
        <w:rPr>
          <w:lang w:val="en-NZ"/>
        </w:rPr>
        <w:t>1</w:t>
      </w:r>
      <w:r w:rsidR="00A44878">
        <w:rPr>
          <w:lang w:val="en-NZ"/>
        </w:rPr>
        <w:t>.</w:t>
      </w:r>
      <w:r w:rsidR="00A44878">
        <w:rPr>
          <w:lang w:val="en-NZ"/>
        </w:rPr>
        <w:tab/>
        <w:t>In the circumstance that an invoice is overpaid, a recovery or refund of the overpayment must be sought.</w:t>
      </w:r>
    </w:p>
    <w:p w14:paraId="43005EDE" w14:textId="77777777" w:rsidR="00CD57E9" w:rsidRDefault="0047745E" w:rsidP="0066536A">
      <w:pPr>
        <w:pStyle w:val="Heading2"/>
        <w:rPr>
          <w:lang w:val="en-NZ"/>
        </w:rPr>
      </w:pPr>
      <w:r>
        <w:rPr>
          <w:lang w:val="en-NZ"/>
        </w:rPr>
        <w:t>Supporting Documents:</w:t>
      </w:r>
    </w:p>
    <w:p w14:paraId="557D2729" w14:textId="77777777" w:rsidR="00CD27D1" w:rsidRPr="0047745E" w:rsidRDefault="00CD27D1" w:rsidP="0066536A">
      <w:pPr>
        <w:rPr>
          <w:lang w:val="en-NZ"/>
        </w:rPr>
      </w:pPr>
      <w:hyperlink r:id="rId10" w:history="1">
        <w:r w:rsidRPr="00CD27D1">
          <w:rPr>
            <w:rStyle w:val="Hyperlink"/>
            <w:lang w:val="en-NZ"/>
          </w:rPr>
          <w:t>All of Government Procurement Scheme</w:t>
        </w:r>
      </w:hyperlink>
    </w:p>
    <w:p w14:paraId="3D542B29" w14:textId="6419BFEF" w:rsidR="00A44878" w:rsidRDefault="00A44878" w:rsidP="0066536A">
      <w:pPr>
        <w:rPr>
          <w:lang w:val="en-NZ"/>
        </w:rPr>
      </w:pPr>
      <w:r>
        <w:rPr>
          <w:lang w:val="en-NZ"/>
        </w:rPr>
        <w:t>BLENNZ Policies:</w:t>
      </w:r>
    </w:p>
    <w:p w14:paraId="61088EE5" w14:textId="77777777" w:rsidR="00A44878" w:rsidRDefault="00A44878" w:rsidP="0066536A">
      <w:pPr>
        <w:pStyle w:val="NoSpacing"/>
        <w:numPr>
          <w:ilvl w:val="0"/>
          <w:numId w:val="7"/>
        </w:numPr>
        <w:spacing w:line="288" w:lineRule="auto"/>
        <w:rPr>
          <w:lang w:val="en-NZ"/>
        </w:rPr>
      </w:pPr>
      <w:r>
        <w:rPr>
          <w:lang w:val="en-NZ"/>
        </w:rPr>
        <w:t>Board Delegations</w:t>
      </w:r>
    </w:p>
    <w:p w14:paraId="205EE094" w14:textId="77777777" w:rsidR="005832AD" w:rsidRDefault="005832AD" w:rsidP="0066536A">
      <w:pPr>
        <w:pStyle w:val="NoSpacing"/>
        <w:numPr>
          <w:ilvl w:val="0"/>
          <w:numId w:val="7"/>
        </w:numPr>
        <w:spacing w:line="288" w:lineRule="auto"/>
        <w:rPr>
          <w:lang w:val="en-NZ"/>
        </w:rPr>
      </w:pPr>
      <w:r>
        <w:rPr>
          <w:lang w:val="en-NZ"/>
        </w:rPr>
        <w:t>Financial Management</w:t>
      </w:r>
    </w:p>
    <w:p w14:paraId="75BC17FF" w14:textId="26218701" w:rsidR="006E52D7" w:rsidRDefault="006E52D7" w:rsidP="0066536A">
      <w:pPr>
        <w:pStyle w:val="NoSpacing"/>
        <w:numPr>
          <w:ilvl w:val="0"/>
          <w:numId w:val="7"/>
        </w:numPr>
        <w:spacing w:line="288" w:lineRule="auto"/>
        <w:rPr>
          <w:lang w:val="en-NZ"/>
        </w:rPr>
      </w:pPr>
      <w:r>
        <w:rPr>
          <w:lang w:val="en-NZ"/>
        </w:rPr>
        <w:t>Asset Capitalisation</w:t>
      </w:r>
    </w:p>
    <w:p w14:paraId="72DA4B21" w14:textId="77777777" w:rsidR="00A44878" w:rsidRDefault="00A44878" w:rsidP="0066536A">
      <w:pPr>
        <w:pStyle w:val="NoSpacing"/>
        <w:numPr>
          <w:ilvl w:val="0"/>
          <w:numId w:val="7"/>
        </w:numPr>
        <w:spacing w:line="288" w:lineRule="auto"/>
        <w:rPr>
          <w:lang w:val="en-NZ"/>
        </w:rPr>
      </w:pPr>
      <w:r>
        <w:rPr>
          <w:lang w:val="en-NZ"/>
        </w:rPr>
        <w:t>Credit Card</w:t>
      </w:r>
    </w:p>
    <w:p w14:paraId="3B812820" w14:textId="77777777" w:rsidR="00A44878" w:rsidRDefault="00A44878" w:rsidP="0066536A">
      <w:pPr>
        <w:pStyle w:val="NoSpacing"/>
        <w:numPr>
          <w:ilvl w:val="0"/>
          <w:numId w:val="7"/>
        </w:numPr>
        <w:spacing w:line="288" w:lineRule="auto"/>
        <w:rPr>
          <w:lang w:val="en-NZ"/>
        </w:rPr>
      </w:pPr>
      <w:r>
        <w:rPr>
          <w:lang w:val="en-NZ"/>
        </w:rPr>
        <w:t>Theft and Fraud Prevention</w:t>
      </w:r>
    </w:p>
    <w:p w14:paraId="64ED2645" w14:textId="77777777" w:rsidR="00A44878" w:rsidRDefault="00A44878" w:rsidP="0066536A">
      <w:pPr>
        <w:pStyle w:val="NoSpacing"/>
        <w:numPr>
          <w:ilvl w:val="0"/>
          <w:numId w:val="7"/>
        </w:numPr>
        <w:spacing w:line="288" w:lineRule="auto"/>
        <w:rPr>
          <w:lang w:val="en-NZ"/>
        </w:rPr>
      </w:pPr>
      <w:r>
        <w:rPr>
          <w:lang w:val="en-NZ"/>
        </w:rPr>
        <w:t>Sensitive Expenditure</w:t>
      </w:r>
    </w:p>
    <w:p w14:paraId="6ACB0388" w14:textId="52F30C2F" w:rsidR="00EB6481" w:rsidRPr="006D3100" w:rsidRDefault="00A44878" w:rsidP="006D3100">
      <w:pPr>
        <w:pStyle w:val="NoSpacing"/>
        <w:numPr>
          <w:ilvl w:val="0"/>
          <w:numId w:val="7"/>
        </w:numPr>
        <w:spacing w:line="288" w:lineRule="auto"/>
        <w:rPr>
          <w:lang w:val="en-NZ"/>
        </w:rPr>
      </w:pPr>
      <w:r>
        <w:rPr>
          <w:lang w:val="en-NZ"/>
        </w:rPr>
        <w:t>Conflicts of Interest</w:t>
      </w:r>
      <w:r w:rsidR="00EB6481" w:rsidRPr="006D3100">
        <w:rPr>
          <w:lang w:val="en-NZ"/>
        </w:rPr>
        <w:tab/>
      </w:r>
      <w:r w:rsidR="00EB6481" w:rsidRPr="006D3100">
        <w:rPr>
          <w:lang w:val="en-NZ"/>
        </w:rPr>
        <w:tab/>
      </w:r>
      <w:r w:rsidR="00EB6481" w:rsidRPr="006D3100">
        <w:rPr>
          <w:lang w:val="en-NZ"/>
        </w:rPr>
        <w:tab/>
      </w:r>
      <w:r w:rsidR="00EB6481" w:rsidRPr="006D3100">
        <w:rPr>
          <w:lang w:val="en-NZ"/>
        </w:rPr>
        <w:tab/>
      </w:r>
      <w:r w:rsidR="00EB6481" w:rsidRPr="006D3100">
        <w:rPr>
          <w:lang w:val="en-NZ"/>
        </w:rPr>
        <w:tab/>
      </w:r>
    </w:p>
    <w:p w14:paraId="09536A4D" w14:textId="56C17B63" w:rsidR="009A2E8D" w:rsidRDefault="009A2E8D" w:rsidP="0066536A">
      <w:pPr>
        <w:rPr>
          <w:lang w:val="en-NZ"/>
        </w:rPr>
      </w:pPr>
      <w:r>
        <w:rPr>
          <w:lang w:val="en-NZ"/>
        </w:rPr>
        <w:t>Approved:</w:t>
      </w:r>
      <w:r>
        <w:rPr>
          <w:lang w:val="en-NZ"/>
        </w:rPr>
        <w:tab/>
      </w:r>
      <w:r w:rsidR="00B76CED">
        <w:rPr>
          <w:noProof/>
        </w:rPr>
        <w:drawing>
          <wp:inline distT="0" distB="0" distL="0" distR="0" wp14:anchorId="57A77428" wp14:editId="4E2011A6">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p>
    <w:p w14:paraId="6021C30B" w14:textId="29E8D09D" w:rsidR="00CD27D1" w:rsidRDefault="00CD27D1" w:rsidP="0066536A">
      <w:pPr>
        <w:rPr>
          <w:lang w:val="en-NZ"/>
        </w:rPr>
      </w:pPr>
      <w:r>
        <w:rPr>
          <w:lang w:val="en-NZ"/>
        </w:rPr>
        <w:t>Date:</w:t>
      </w:r>
      <w:r w:rsidR="0064659C">
        <w:rPr>
          <w:lang w:val="en-NZ"/>
        </w:rPr>
        <w:tab/>
      </w:r>
      <w:r w:rsidR="00B76CED">
        <w:rPr>
          <w:lang w:val="en-NZ"/>
        </w:rPr>
        <w:t>26 March 2025</w:t>
      </w:r>
    </w:p>
    <w:p w14:paraId="4418801A" w14:textId="14AFE2B2" w:rsidR="00B408DA" w:rsidRPr="00B408DA" w:rsidRDefault="00CD27D1" w:rsidP="0066536A">
      <w:pPr>
        <w:rPr>
          <w:lang w:val="en-NZ"/>
        </w:rPr>
      </w:pPr>
      <w:r>
        <w:rPr>
          <w:lang w:val="en-NZ"/>
        </w:rPr>
        <w:t>Next Review:</w:t>
      </w:r>
      <w:r>
        <w:rPr>
          <w:lang w:val="en-NZ"/>
        </w:rPr>
        <w:tab/>
        <w:t>202</w:t>
      </w:r>
      <w:r w:rsidR="00B408DA">
        <w:rPr>
          <w:lang w:val="en-NZ"/>
        </w:rPr>
        <w:t>8</w:t>
      </w:r>
    </w:p>
    <w:p w14:paraId="7988CD98" w14:textId="77777777" w:rsidR="00B408DA" w:rsidRPr="00B408DA" w:rsidRDefault="00B408DA" w:rsidP="0066536A">
      <w:pPr>
        <w:rPr>
          <w:lang w:val="en-NZ"/>
        </w:rPr>
      </w:pPr>
    </w:p>
    <w:p w14:paraId="524C17AB" w14:textId="77777777" w:rsidR="00B408DA" w:rsidRPr="00B408DA" w:rsidRDefault="00B408DA" w:rsidP="0066536A">
      <w:pPr>
        <w:rPr>
          <w:lang w:val="en-NZ"/>
        </w:rPr>
      </w:pPr>
    </w:p>
    <w:p w14:paraId="21A41580" w14:textId="77777777" w:rsidR="00B408DA" w:rsidRPr="00B408DA" w:rsidRDefault="00B408DA" w:rsidP="0066536A">
      <w:pPr>
        <w:rPr>
          <w:lang w:val="en-NZ"/>
        </w:rPr>
      </w:pPr>
    </w:p>
    <w:p w14:paraId="69ADA08D" w14:textId="77777777" w:rsidR="00B408DA" w:rsidRPr="00B408DA" w:rsidRDefault="00B408DA" w:rsidP="0066536A">
      <w:pPr>
        <w:rPr>
          <w:lang w:val="en-NZ"/>
        </w:rPr>
      </w:pPr>
    </w:p>
    <w:p w14:paraId="0C46CD87" w14:textId="77777777" w:rsidR="00B408DA" w:rsidRPr="00B408DA" w:rsidRDefault="00B408DA" w:rsidP="0066536A">
      <w:pPr>
        <w:rPr>
          <w:lang w:val="en-NZ"/>
        </w:rPr>
      </w:pPr>
    </w:p>
    <w:p w14:paraId="36D3BA0C" w14:textId="739534F9" w:rsidR="00B408DA" w:rsidRPr="00B408DA" w:rsidRDefault="00B408DA" w:rsidP="0066536A">
      <w:pPr>
        <w:tabs>
          <w:tab w:val="left" w:pos="1155"/>
        </w:tabs>
        <w:rPr>
          <w:lang w:val="en-NZ"/>
        </w:rPr>
      </w:pPr>
      <w:r>
        <w:rPr>
          <w:lang w:val="en-NZ"/>
        </w:rPr>
        <w:tab/>
      </w:r>
    </w:p>
    <w:sectPr w:rsidR="00B408DA" w:rsidRPr="00B408DA" w:rsidSect="0048009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C4F6" w14:textId="77777777" w:rsidR="002B6B0B" w:rsidRDefault="002B6B0B" w:rsidP="00B27179">
      <w:pPr>
        <w:spacing w:after="0" w:line="240" w:lineRule="auto"/>
      </w:pPr>
      <w:r>
        <w:separator/>
      </w:r>
    </w:p>
  </w:endnote>
  <w:endnote w:type="continuationSeparator" w:id="0">
    <w:p w14:paraId="348CA58C" w14:textId="77777777" w:rsidR="002B6B0B" w:rsidRDefault="002B6B0B" w:rsidP="00B27179">
      <w:pPr>
        <w:spacing w:after="0" w:line="240" w:lineRule="auto"/>
      </w:pPr>
      <w:r>
        <w:continuationSeparator/>
      </w:r>
    </w:p>
  </w:endnote>
  <w:endnote w:type="continuationNotice" w:id="1">
    <w:p w14:paraId="2F2275F6" w14:textId="77777777" w:rsidR="002B6B0B" w:rsidRDefault="002B6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08E" w14:textId="5D2F36E1" w:rsidR="00B27179" w:rsidRDefault="00B27179" w:rsidP="00E61F2F">
    <w:pPr>
      <w:pStyle w:val="Footer"/>
      <w:spacing w:before="0" w:beforeAutospacing="0" w:afterAutospacing="0"/>
      <w:rPr>
        <w:b/>
        <w:bCs/>
      </w:rPr>
    </w:pPr>
    <w:r>
      <w:t>OP4-0</w:t>
    </w:r>
    <w:r w:rsidR="0047745E">
      <w:t>3</w:t>
    </w:r>
    <w:r>
      <w:t xml:space="preserve"> 20</w:t>
    </w:r>
    <w:r w:rsidR="00CD27D1">
      <w:t>2</w:t>
    </w:r>
    <w:r w:rsidR="00B408DA">
      <w:t>5</w:t>
    </w:r>
    <w:r>
      <w:t xml:space="preserve"> </w:t>
    </w:r>
    <w:r w:rsidR="0047745E">
      <w:t>Purchasing</w:t>
    </w:r>
    <w:r>
      <w:t xml:space="preserve"> Policy</w:t>
    </w:r>
    <w:r>
      <w:tab/>
    </w:r>
    <w:r>
      <w:tab/>
      <w:t xml:space="preserve">Page </w:t>
    </w:r>
    <w:r>
      <w:rPr>
        <w:b/>
        <w:bCs/>
      </w:rPr>
      <w:fldChar w:fldCharType="begin"/>
    </w:r>
    <w:r>
      <w:rPr>
        <w:b/>
        <w:bCs/>
      </w:rPr>
      <w:instrText xml:space="preserve"> PAGE  \* Arabic  \* MERGEFORMAT </w:instrText>
    </w:r>
    <w:r>
      <w:rPr>
        <w:b/>
        <w:bCs/>
      </w:rPr>
      <w:fldChar w:fldCharType="separate"/>
    </w:r>
    <w:r w:rsidR="0064659C">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4659C">
      <w:rPr>
        <w:b/>
        <w:bCs/>
        <w:noProof/>
      </w:rPr>
      <w:t>2</w:t>
    </w:r>
    <w:r>
      <w:rPr>
        <w:b/>
        <w:bCs/>
      </w:rPr>
      <w:fldChar w:fldCharType="end"/>
    </w:r>
  </w:p>
  <w:p w14:paraId="4C745B70" w14:textId="777396F8" w:rsidR="00B27179" w:rsidRDefault="006E52D7" w:rsidP="00E61F2F">
    <w:pPr>
      <w:pStyle w:val="Footer"/>
      <w:spacing w:before="0" w:beforeAutospacing="0" w:afterAutospacing="0"/>
    </w:pPr>
    <w:r>
      <w:rPr>
        <w:bCs/>
      </w:rPr>
      <w:t>March</w:t>
    </w:r>
    <w:r w:rsidR="00515690">
      <w:rPr>
        <w:bCs/>
      </w:rPr>
      <w:t xml:space="preserve"> 202</w:t>
    </w:r>
    <w:r w:rsidR="00B408DA">
      <w:rPr>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3F14" w14:textId="77777777" w:rsidR="002B6B0B" w:rsidRDefault="002B6B0B" w:rsidP="00B27179">
      <w:pPr>
        <w:spacing w:after="0" w:line="240" w:lineRule="auto"/>
      </w:pPr>
      <w:r>
        <w:separator/>
      </w:r>
    </w:p>
  </w:footnote>
  <w:footnote w:type="continuationSeparator" w:id="0">
    <w:p w14:paraId="426F5A38" w14:textId="77777777" w:rsidR="002B6B0B" w:rsidRDefault="002B6B0B" w:rsidP="00B27179">
      <w:pPr>
        <w:spacing w:after="0" w:line="240" w:lineRule="auto"/>
      </w:pPr>
      <w:r>
        <w:continuationSeparator/>
      </w:r>
    </w:p>
  </w:footnote>
  <w:footnote w:type="continuationNotice" w:id="1">
    <w:p w14:paraId="1FAAF80E" w14:textId="77777777" w:rsidR="002B6B0B" w:rsidRDefault="002B6B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BC9"/>
    <w:multiLevelType w:val="hybridMultilevel"/>
    <w:tmpl w:val="B8A2BCF6"/>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29629FA"/>
    <w:multiLevelType w:val="hybridMultilevel"/>
    <w:tmpl w:val="2CEA56C8"/>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5" w15:restartNumberingAfterBreak="0">
    <w:nsid w:val="56BB7D6F"/>
    <w:multiLevelType w:val="hybridMultilevel"/>
    <w:tmpl w:val="D70209DA"/>
    <w:lvl w:ilvl="0" w:tplc="14090001">
      <w:start w:val="1"/>
      <w:numFmt w:val="bullet"/>
      <w:lvlText w:val=""/>
      <w:lvlJc w:val="left"/>
      <w:pPr>
        <w:ind w:left="1446" w:hanging="360"/>
      </w:pPr>
      <w:rPr>
        <w:rFonts w:ascii="Symbol" w:hAnsi="Symbol" w:hint="default"/>
      </w:rPr>
    </w:lvl>
    <w:lvl w:ilvl="1" w:tplc="14090003">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6" w15:restartNumberingAfterBreak="0">
    <w:nsid w:val="59F96AF2"/>
    <w:multiLevelType w:val="multilevel"/>
    <w:tmpl w:val="107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06442"/>
    <w:multiLevelType w:val="hybridMultilevel"/>
    <w:tmpl w:val="25186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28287687">
    <w:abstractNumId w:val="2"/>
  </w:num>
  <w:num w:numId="2" w16cid:durableId="868302386">
    <w:abstractNumId w:val="1"/>
  </w:num>
  <w:num w:numId="3" w16cid:durableId="138769992">
    <w:abstractNumId w:val="3"/>
  </w:num>
  <w:num w:numId="4" w16cid:durableId="262231435">
    <w:abstractNumId w:val="0"/>
  </w:num>
  <w:num w:numId="5" w16cid:durableId="2084521848">
    <w:abstractNumId w:val="5"/>
  </w:num>
  <w:num w:numId="6" w16cid:durableId="1551309054">
    <w:abstractNumId w:val="4"/>
  </w:num>
  <w:num w:numId="7" w16cid:durableId="1119229056">
    <w:abstractNumId w:val="7"/>
  </w:num>
  <w:num w:numId="8" w16cid:durableId="66527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D"/>
    <w:rsid w:val="00026013"/>
    <w:rsid w:val="000417C5"/>
    <w:rsid w:val="00050E37"/>
    <w:rsid w:val="00053F9B"/>
    <w:rsid w:val="00056B26"/>
    <w:rsid w:val="000713AD"/>
    <w:rsid w:val="000B2B64"/>
    <w:rsid w:val="000E06B3"/>
    <w:rsid w:val="000E2FC8"/>
    <w:rsid w:val="0010687E"/>
    <w:rsid w:val="00116C15"/>
    <w:rsid w:val="001266FE"/>
    <w:rsid w:val="00172408"/>
    <w:rsid w:val="001A30A4"/>
    <w:rsid w:val="001B082A"/>
    <w:rsid w:val="001C0426"/>
    <w:rsid w:val="001D108F"/>
    <w:rsid w:val="00214603"/>
    <w:rsid w:val="0024367E"/>
    <w:rsid w:val="00276E63"/>
    <w:rsid w:val="002907B9"/>
    <w:rsid w:val="002B6B0B"/>
    <w:rsid w:val="002F38CB"/>
    <w:rsid w:val="00323818"/>
    <w:rsid w:val="00333F24"/>
    <w:rsid w:val="003432BE"/>
    <w:rsid w:val="00360F27"/>
    <w:rsid w:val="00396798"/>
    <w:rsid w:val="0040014A"/>
    <w:rsid w:val="00400DED"/>
    <w:rsid w:val="00431DCF"/>
    <w:rsid w:val="0043298F"/>
    <w:rsid w:val="00434FC6"/>
    <w:rsid w:val="00452764"/>
    <w:rsid w:val="00460772"/>
    <w:rsid w:val="0047745E"/>
    <w:rsid w:val="0048009E"/>
    <w:rsid w:val="004860EC"/>
    <w:rsid w:val="004A2CE8"/>
    <w:rsid w:val="004A52D8"/>
    <w:rsid w:val="004C0AB4"/>
    <w:rsid w:val="004D4073"/>
    <w:rsid w:val="004E0541"/>
    <w:rsid w:val="004E0791"/>
    <w:rsid w:val="00515690"/>
    <w:rsid w:val="0054482D"/>
    <w:rsid w:val="00564872"/>
    <w:rsid w:val="005832AD"/>
    <w:rsid w:val="005B3926"/>
    <w:rsid w:val="00611F0E"/>
    <w:rsid w:val="00645571"/>
    <w:rsid w:val="0064659C"/>
    <w:rsid w:val="0066536A"/>
    <w:rsid w:val="00677536"/>
    <w:rsid w:val="006A74C5"/>
    <w:rsid w:val="006C0DF0"/>
    <w:rsid w:val="006D3100"/>
    <w:rsid w:val="006E52D7"/>
    <w:rsid w:val="00701E38"/>
    <w:rsid w:val="00710A36"/>
    <w:rsid w:val="00730CF5"/>
    <w:rsid w:val="00761BE4"/>
    <w:rsid w:val="00765CF3"/>
    <w:rsid w:val="00776C44"/>
    <w:rsid w:val="007B5A12"/>
    <w:rsid w:val="007C2BA4"/>
    <w:rsid w:val="007F0C67"/>
    <w:rsid w:val="008015E4"/>
    <w:rsid w:val="00890AFE"/>
    <w:rsid w:val="008C4115"/>
    <w:rsid w:val="008D64FA"/>
    <w:rsid w:val="00902AC2"/>
    <w:rsid w:val="00911D8D"/>
    <w:rsid w:val="00925411"/>
    <w:rsid w:val="009369E2"/>
    <w:rsid w:val="00952FAB"/>
    <w:rsid w:val="0097675D"/>
    <w:rsid w:val="009A2E8D"/>
    <w:rsid w:val="009B3A9C"/>
    <w:rsid w:val="009D3ED0"/>
    <w:rsid w:val="00A10A49"/>
    <w:rsid w:val="00A44878"/>
    <w:rsid w:val="00A47862"/>
    <w:rsid w:val="00A611D2"/>
    <w:rsid w:val="00A76174"/>
    <w:rsid w:val="00A93D46"/>
    <w:rsid w:val="00AC287D"/>
    <w:rsid w:val="00AC4C55"/>
    <w:rsid w:val="00AE2180"/>
    <w:rsid w:val="00AF6FC4"/>
    <w:rsid w:val="00B27179"/>
    <w:rsid w:val="00B30E61"/>
    <w:rsid w:val="00B408DA"/>
    <w:rsid w:val="00B42911"/>
    <w:rsid w:val="00B45B72"/>
    <w:rsid w:val="00B76875"/>
    <w:rsid w:val="00B76CED"/>
    <w:rsid w:val="00B94812"/>
    <w:rsid w:val="00BC4320"/>
    <w:rsid w:val="00C46C35"/>
    <w:rsid w:val="00C5657E"/>
    <w:rsid w:val="00C86E01"/>
    <w:rsid w:val="00CB3443"/>
    <w:rsid w:val="00CD27D1"/>
    <w:rsid w:val="00CD57E9"/>
    <w:rsid w:val="00CE082B"/>
    <w:rsid w:val="00D05EF6"/>
    <w:rsid w:val="00D14965"/>
    <w:rsid w:val="00D85166"/>
    <w:rsid w:val="00DA7834"/>
    <w:rsid w:val="00DF2821"/>
    <w:rsid w:val="00E15692"/>
    <w:rsid w:val="00E61F2F"/>
    <w:rsid w:val="00E6478F"/>
    <w:rsid w:val="00E93048"/>
    <w:rsid w:val="00EB6481"/>
    <w:rsid w:val="00EF28A8"/>
    <w:rsid w:val="00EF604C"/>
    <w:rsid w:val="00F02D91"/>
    <w:rsid w:val="00F03F9C"/>
    <w:rsid w:val="00F11EA3"/>
    <w:rsid w:val="00F1592D"/>
    <w:rsid w:val="00F527F2"/>
    <w:rsid w:val="00F8034E"/>
    <w:rsid w:val="00FA1FD8"/>
    <w:rsid w:val="00FC7E8B"/>
    <w:rsid w:val="00FE01E0"/>
    <w:rsid w:val="00FE0C3C"/>
    <w:rsid w:val="00FE76CE"/>
    <w:rsid w:val="00FF3A34"/>
    <w:rsid w:val="00FF5211"/>
    <w:rsid w:val="24EA18B0"/>
    <w:rsid w:val="6350C6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70F3"/>
  <w15:docId w15:val="{CCF62DBF-431E-48FD-9C50-27AAB02F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00"/>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B27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179"/>
    <w:rPr>
      <w:rFonts w:ascii="Arial" w:hAnsi="Arial"/>
      <w:sz w:val="24"/>
    </w:rPr>
  </w:style>
  <w:style w:type="paragraph" w:styleId="Footer">
    <w:name w:val="footer"/>
    <w:basedOn w:val="Normal"/>
    <w:link w:val="FooterChar"/>
    <w:uiPriority w:val="99"/>
    <w:unhideWhenUsed/>
    <w:rsid w:val="00B27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179"/>
    <w:rPr>
      <w:rFonts w:ascii="Arial" w:hAnsi="Arial"/>
      <w:sz w:val="24"/>
    </w:rPr>
  </w:style>
  <w:style w:type="paragraph" w:styleId="ListParagraph">
    <w:name w:val="List Paragraph"/>
    <w:basedOn w:val="Normal"/>
    <w:uiPriority w:val="34"/>
    <w:qFormat/>
    <w:rsid w:val="00431DCF"/>
    <w:pPr>
      <w:ind w:left="720"/>
      <w:contextualSpacing/>
    </w:pPr>
  </w:style>
  <w:style w:type="paragraph" w:styleId="NoSpacing">
    <w:name w:val="No Spacing"/>
    <w:uiPriority w:val="1"/>
    <w:qFormat/>
    <w:rsid w:val="00A44878"/>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CD2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6252">
      <w:bodyDiv w:val="1"/>
      <w:marLeft w:val="0"/>
      <w:marRight w:val="0"/>
      <w:marTop w:val="0"/>
      <w:marBottom w:val="0"/>
      <w:divBdr>
        <w:top w:val="none" w:sz="0" w:space="0" w:color="auto"/>
        <w:left w:val="none" w:sz="0" w:space="0" w:color="auto"/>
        <w:bottom w:val="none" w:sz="0" w:space="0" w:color="auto"/>
        <w:right w:val="none" w:sz="0" w:space="0" w:color="auto"/>
      </w:divBdr>
    </w:div>
    <w:div w:id="183901632">
      <w:bodyDiv w:val="1"/>
      <w:marLeft w:val="0"/>
      <w:marRight w:val="0"/>
      <w:marTop w:val="0"/>
      <w:marBottom w:val="0"/>
      <w:divBdr>
        <w:top w:val="none" w:sz="0" w:space="0" w:color="auto"/>
        <w:left w:val="none" w:sz="0" w:space="0" w:color="auto"/>
        <w:bottom w:val="none" w:sz="0" w:space="0" w:color="auto"/>
        <w:right w:val="none" w:sz="0" w:space="0" w:color="auto"/>
      </w:divBdr>
      <w:divsChild>
        <w:div w:id="1365014522">
          <w:marLeft w:val="0"/>
          <w:marRight w:val="0"/>
          <w:marTop w:val="0"/>
          <w:marBottom w:val="0"/>
          <w:divBdr>
            <w:top w:val="none" w:sz="0" w:space="0" w:color="auto"/>
            <w:left w:val="none" w:sz="0" w:space="0" w:color="auto"/>
            <w:bottom w:val="none" w:sz="0" w:space="0" w:color="auto"/>
            <w:right w:val="none" w:sz="0" w:space="0" w:color="auto"/>
          </w:divBdr>
        </w:div>
      </w:divsChild>
    </w:div>
    <w:div w:id="338435505">
      <w:bodyDiv w:val="1"/>
      <w:marLeft w:val="0"/>
      <w:marRight w:val="0"/>
      <w:marTop w:val="0"/>
      <w:marBottom w:val="0"/>
      <w:divBdr>
        <w:top w:val="none" w:sz="0" w:space="0" w:color="auto"/>
        <w:left w:val="none" w:sz="0" w:space="0" w:color="auto"/>
        <w:bottom w:val="none" w:sz="0" w:space="0" w:color="auto"/>
        <w:right w:val="none" w:sz="0" w:space="0" w:color="auto"/>
      </w:divBdr>
    </w:div>
    <w:div w:id="771977445">
      <w:bodyDiv w:val="1"/>
      <w:marLeft w:val="0"/>
      <w:marRight w:val="0"/>
      <w:marTop w:val="0"/>
      <w:marBottom w:val="0"/>
      <w:divBdr>
        <w:top w:val="none" w:sz="0" w:space="0" w:color="auto"/>
        <w:left w:val="none" w:sz="0" w:space="0" w:color="auto"/>
        <w:bottom w:val="none" w:sz="0" w:space="0" w:color="auto"/>
        <w:right w:val="none" w:sz="0" w:space="0" w:color="auto"/>
      </w:divBdr>
    </w:div>
    <w:div w:id="973871966">
      <w:bodyDiv w:val="1"/>
      <w:marLeft w:val="0"/>
      <w:marRight w:val="0"/>
      <w:marTop w:val="0"/>
      <w:marBottom w:val="0"/>
      <w:divBdr>
        <w:top w:val="none" w:sz="0" w:space="0" w:color="auto"/>
        <w:left w:val="none" w:sz="0" w:space="0" w:color="auto"/>
        <w:bottom w:val="none" w:sz="0" w:space="0" w:color="auto"/>
        <w:right w:val="none" w:sz="0" w:space="0" w:color="auto"/>
      </w:divBdr>
    </w:div>
    <w:div w:id="1304316494">
      <w:bodyDiv w:val="1"/>
      <w:marLeft w:val="0"/>
      <w:marRight w:val="0"/>
      <w:marTop w:val="0"/>
      <w:marBottom w:val="0"/>
      <w:divBdr>
        <w:top w:val="none" w:sz="0" w:space="0" w:color="auto"/>
        <w:left w:val="none" w:sz="0" w:space="0" w:color="auto"/>
        <w:bottom w:val="none" w:sz="0" w:space="0" w:color="auto"/>
        <w:right w:val="none" w:sz="0" w:space="0" w:color="auto"/>
      </w:divBdr>
      <w:divsChild>
        <w:div w:id="316224653">
          <w:marLeft w:val="0"/>
          <w:marRight w:val="0"/>
          <w:marTop w:val="0"/>
          <w:marBottom w:val="0"/>
          <w:divBdr>
            <w:top w:val="none" w:sz="0" w:space="0" w:color="auto"/>
            <w:left w:val="none" w:sz="0" w:space="0" w:color="auto"/>
            <w:bottom w:val="none" w:sz="0" w:space="0" w:color="auto"/>
            <w:right w:val="none" w:sz="0" w:space="0" w:color="auto"/>
          </w:divBdr>
        </w:div>
      </w:divsChild>
    </w:div>
    <w:div w:id="1750613918">
      <w:bodyDiv w:val="1"/>
      <w:marLeft w:val="0"/>
      <w:marRight w:val="0"/>
      <w:marTop w:val="0"/>
      <w:marBottom w:val="0"/>
      <w:divBdr>
        <w:top w:val="none" w:sz="0" w:space="0" w:color="auto"/>
        <w:left w:val="none" w:sz="0" w:space="0" w:color="auto"/>
        <w:bottom w:val="none" w:sz="0" w:space="0" w:color="auto"/>
        <w:right w:val="none" w:sz="0" w:space="0" w:color="auto"/>
      </w:divBdr>
    </w:div>
    <w:div w:id="19535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procurement.govt.nz/procurement/principles-charter-and-rules/government-procurement-rules/other-rules-you-need-to-know/rule-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FBF8D3D1-55D2-4D49-BCC8-08A86022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3</Pages>
  <Words>704</Words>
  <Characters>4013</Characters>
  <Application>Microsoft Office Word</Application>
  <DocSecurity>0</DocSecurity>
  <Lines>33</Lines>
  <Paragraphs>9</Paragraphs>
  <ScaleCrop>false</ScaleCrop>
  <Company>Hewlett-Packard</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2025-03-12T22:41:00Z</cp:lastPrinted>
  <dcterms:created xsi:type="dcterms:W3CDTF">2025-04-16T00:01:00Z</dcterms:created>
  <dcterms:modified xsi:type="dcterms:W3CDTF">2025-04-16T00:01:00Z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