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0F9A" w14:textId="5B8129CC" w:rsidR="009353A0" w:rsidRDefault="009353A0" w:rsidP="009353A0">
      <w:pPr>
        <w:pStyle w:val="Heading1"/>
        <w:rPr>
          <w:lang w:val="en-NZ"/>
        </w:rPr>
      </w:pPr>
      <w:r>
        <w:rPr>
          <w:lang w:val="en-NZ"/>
        </w:rPr>
        <w:t>Operational Policy: Use of BLENNZ Residential Accommodation (</w:t>
      </w:r>
      <w:r w:rsidR="000A0BD3">
        <w:rPr>
          <w:lang w:val="en-NZ"/>
        </w:rPr>
        <w:t>Finance 4)</w:t>
      </w:r>
    </w:p>
    <w:p w14:paraId="5BAFC964" w14:textId="517E5283" w:rsidR="00B96C98" w:rsidRDefault="00B96C98" w:rsidP="009353A0">
      <w:pPr>
        <w:pStyle w:val="Heading2"/>
        <w:rPr>
          <w:lang w:val="en-NZ"/>
        </w:rPr>
      </w:pPr>
      <w:r>
        <w:rPr>
          <w:lang w:val="en-NZ"/>
        </w:rPr>
        <w:t>Blind &amp; Low Vision Education Network NZ</w:t>
      </w:r>
    </w:p>
    <w:p w14:paraId="01CDEE94" w14:textId="77777777" w:rsidR="009353A0" w:rsidRDefault="009353A0" w:rsidP="00EE5784">
      <w:pPr>
        <w:pStyle w:val="Heading2"/>
        <w:rPr>
          <w:lang w:val="en-NZ"/>
        </w:rPr>
      </w:pPr>
      <w:r>
        <w:rPr>
          <w:lang w:val="en-NZ"/>
        </w:rPr>
        <w:t>Statement of Intent:</w:t>
      </w:r>
    </w:p>
    <w:p w14:paraId="544650CC" w14:textId="77777777" w:rsidR="009353A0" w:rsidRDefault="009353A0" w:rsidP="00EE5784">
      <w:pPr>
        <w:rPr>
          <w:lang w:val="en-NZ"/>
        </w:rPr>
      </w:pPr>
      <w:r>
        <w:rPr>
          <w:lang w:val="en-NZ"/>
        </w:rPr>
        <w:t>The Blind &amp; Low Vision Education Network NZ (BLENNZ) will take all practicable steps to ensure the efficient and safe use of the residential accommodation available on BLENNZ Homai Campus.</w:t>
      </w:r>
      <w:r w:rsidR="00624A93">
        <w:rPr>
          <w:lang w:val="en-NZ"/>
        </w:rPr>
        <w:t xml:space="preserve"> </w:t>
      </w:r>
      <w:r>
        <w:rPr>
          <w:lang w:val="en-NZ"/>
        </w:rPr>
        <w:t>The safety of ākonga is paramount.</w:t>
      </w:r>
    </w:p>
    <w:p w14:paraId="64FEC963" w14:textId="67D321FD" w:rsidR="00821A1B" w:rsidRDefault="005C292A" w:rsidP="00821A1B">
      <w:pPr>
        <w:rPr>
          <w:lang w:val="en-NZ"/>
        </w:rPr>
      </w:pPr>
      <w:r>
        <w:rPr>
          <w:lang w:val="en-NZ"/>
        </w:rPr>
        <w:t>Available</w:t>
      </w:r>
      <w:r w:rsidR="00821A1B">
        <w:rPr>
          <w:lang w:val="en-NZ"/>
        </w:rPr>
        <w:t xml:space="preserve"> </w:t>
      </w:r>
      <w:proofErr w:type="gramStart"/>
      <w:r w:rsidR="00821A1B">
        <w:rPr>
          <w:lang w:val="en-NZ"/>
        </w:rPr>
        <w:t>on site</w:t>
      </w:r>
      <w:proofErr w:type="gramEnd"/>
      <w:r w:rsidR="00821A1B">
        <w:rPr>
          <w:lang w:val="en-NZ"/>
        </w:rPr>
        <w:t xml:space="preserve"> accommodation must be utilised first before consideration will be given for </w:t>
      </w:r>
      <w:r w:rsidR="00250EF9">
        <w:rPr>
          <w:lang w:val="en-NZ"/>
        </w:rPr>
        <w:t>anyone to</w:t>
      </w:r>
      <w:r w:rsidR="00821A1B">
        <w:rPr>
          <w:lang w:val="en-NZ"/>
        </w:rPr>
        <w:t xml:space="preserve"> stay in accommodation off site that is a financial cost to BLENNZ. </w:t>
      </w:r>
      <w:r w:rsidR="00640028">
        <w:rPr>
          <w:lang w:val="en-NZ"/>
        </w:rPr>
        <w:t xml:space="preserve">If a staff member chooses not to stay </w:t>
      </w:r>
      <w:r w:rsidR="00927027">
        <w:rPr>
          <w:lang w:val="en-NZ"/>
        </w:rPr>
        <w:t>in accommodation that is available on site</w:t>
      </w:r>
      <w:r w:rsidR="000779D0">
        <w:rPr>
          <w:lang w:val="en-NZ"/>
        </w:rPr>
        <w:t xml:space="preserve">, they will be responsible for organising their own </w:t>
      </w:r>
      <w:proofErr w:type="gramStart"/>
      <w:r w:rsidR="000779D0">
        <w:rPr>
          <w:lang w:val="en-NZ"/>
        </w:rPr>
        <w:t>off site</w:t>
      </w:r>
      <w:proofErr w:type="gramEnd"/>
      <w:r w:rsidR="000779D0">
        <w:rPr>
          <w:lang w:val="en-NZ"/>
        </w:rPr>
        <w:t xml:space="preserve"> accommodation which will be at their own </w:t>
      </w:r>
      <w:r w:rsidR="00927027">
        <w:rPr>
          <w:lang w:val="en-NZ"/>
        </w:rPr>
        <w:t xml:space="preserve">expense. Any exceptions to this must be approved by the </w:t>
      </w:r>
      <w:proofErr w:type="gramStart"/>
      <w:r w:rsidR="00927027">
        <w:rPr>
          <w:lang w:val="en-NZ"/>
        </w:rPr>
        <w:t>Principal</w:t>
      </w:r>
      <w:proofErr w:type="gramEnd"/>
      <w:r w:rsidR="00927027">
        <w:rPr>
          <w:lang w:val="en-NZ"/>
        </w:rPr>
        <w:t>.</w:t>
      </w:r>
    </w:p>
    <w:p w14:paraId="28968252" w14:textId="6ED088AA" w:rsidR="00917330" w:rsidRDefault="00917330" w:rsidP="00EE5784">
      <w:pPr>
        <w:rPr>
          <w:lang w:val="en-NZ"/>
        </w:rPr>
      </w:pPr>
      <w:r>
        <w:rPr>
          <w:lang w:val="en-NZ"/>
        </w:rPr>
        <w:t xml:space="preserve">Anyone using BLENNZ accommodation must abide with Government or Secretary of Education mandates. </w:t>
      </w:r>
    </w:p>
    <w:p w14:paraId="311256F6" w14:textId="77777777" w:rsidR="009353A0" w:rsidRDefault="009353A0" w:rsidP="00EE5784">
      <w:pPr>
        <w:pStyle w:val="Heading2"/>
        <w:rPr>
          <w:lang w:val="en-NZ"/>
        </w:rPr>
      </w:pPr>
      <w:r>
        <w:rPr>
          <w:lang w:val="en-NZ"/>
        </w:rPr>
        <w:t>Policy Requirements:</w:t>
      </w:r>
    </w:p>
    <w:p w14:paraId="279EE6AC" w14:textId="77777777" w:rsidR="009353A0" w:rsidRDefault="009353A0" w:rsidP="00EE5784">
      <w:pPr>
        <w:ind w:left="720" w:hanging="720"/>
        <w:rPr>
          <w:lang w:val="en-NZ"/>
        </w:rPr>
      </w:pPr>
      <w:r>
        <w:rPr>
          <w:lang w:val="en-NZ"/>
        </w:rPr>
        <w:t>1.</w:t>
      </w:r>
      <w:r>
        <w:rPr>
          <w:lang w:val="en-NZ"/>
        </w:rPr>
        <w:tab/>
        <w:t>Priority is given to the use of residential facilities to fulfil the regular activi</w:t>
      </w:r>
      <w:r w:rsidR="00E25F50">
        <w:rPr>
          <w:lang w:val="en-NZ"/>
        </w:rPr>
        <w:t>ti</w:t>
      </w:r>
      <w:r>
        <w:rPr>
          <w:lang w:val="en-NZ"/>
        </w:rPr>
        <w:t>es of ākonga and BLENNZ services.</w:t>
      </w:r>
    </w:p>
    <w:p w14:paraId="16041D05" w14:textId="1D7E1D77" w:rsidR="009353A0" w:rsidRDefault="009353A0" w:rsidP="00EE5784">
      <w:pPr>
        <w:ind w:left="720" w:hanging="720"/>
        <w:rPr>
          <w:lang w:val="en-NZ"/>
        </w:rPr>
      </w:pPr>
      <w:r>
        <w:rPr>
          <w:lang w:val="en-NZ"/>
        </w:rPr>
        <w:t>2.</w:t>
      </w:r>
      <w:r>
        <w:rPr>
          <w:lang w:val="en-NZ"/>
        </w:rPr>
        <w:tab/>
      </w:r>
      <w:r w:rsidR="00915685">
        <w:rPr>
          <w:lang w:val="en-NZ"/>
        </w:rPr>
        <w:t>A</w:t>
      </w:r>
      <w:r>
        <w:rPr>
          <w:lang w:val="en-NZ"/>
        </w:rPr>
        <w:t>ccommodation is not normally available at weekends or during Public Holidays</w:t>
      </w:r>
      <w:r w:rsidR="00915685">
        <w:rPr>
          <w:lang w:val="en-NZ"/>
        </w:rPr>
        <w:t xml:space="preserve"> for anyone other than ākonga </w:t>
      </w:r>
      <w:r w:rsidR="009468B1">
        <w:rPr>
          <w:lang w:val="en-NZ"/>
        </w:rPr>
        <w:t xml:space="preserve">or families </w:t>
      </w:r>
      <w:r w:rsidR="00915685">
        <w:rPr>
          <w:lang w:val="en-NZ"/>
        </w:rPr>
        <w:t>attending BLENNZ programmes</w:t>
      </w:r>
      <w:r>
        <w:rPr>
          <w:lang w:val="en-NZ"/>
        </w:rPr>
        <w:t>.</w:t>
      </w:r>
      <w:r w:rsidR="00A021A5">
        <w:rPr>
          <w:lang w:val="en-NZ"/>
        </w:rPr>
        <w:t xml:space="preserve"> </w:t>
      </w:r>
      <w:r w:rsidR="00DC5FD1">
        <w:rPr>
          <w:lang w:val="en-NZ"/>
        </w:rPr>
        <w:t>Ākonga and their whānau cannot stay on site if no staff are present.</w:t>
      </w:r>
      <w:r>
        <w:rPr>
          <w:lang w:val="en-NZ"/>
        </w:rPr>
        <w:t xml:space="preserve"> Any exceptions to this must be approved by the </w:t>
      </w:r>
      <w:proofErr w:type="gramStart"/>
      <w:r>
        <w:rPr>
          <w:lang w:val="en-NZ"/>
        </w:rPr>
        <w:t>Principal</w:t>
      </w:r>
      <w:proofErr w:type="gramEnd"/>
      <w:r>
        <w:rPr>
          <w:lang w:val="en-NZ"/>
        </w:rPr>
        <w:t>.</w:t>
      </w:r>
    </w:p>
    <w:p w14:paraId="36D9F5B3" w14:textId="77777777" w:rsidR="00347907" w:rsidRDefault="009353A0" w:rsidP="00EE5784">
      <w:pPr>
        <w:ind w:left="720" w:hanging="720"/>
        <w:rPr>
          <w:lang w:val="en-NZ"/>
        </w:rPr>
      </w:pPr>
      <w:r>
        <w:rPr>
          <w:lang w:val="en-NZ"/>
        </w:rPr>
        <w:t>3.</w:t>
      </w:r>
      <w:r>
        <w:rPr>
          <w:lang w:val="en-NZ"/>
        </w:rPr>
        <w:tab/>
        <w:t>Accommodation available for use by BLENNZ in the provision of</w:t>
      </w:r>
      <w:r w:rsidR="00347907">
        <w:rPr>
          <w:lang w:val="en-NZ"/>
        </w:rPr>
        <w:t xml:space="preserve"> its services includes:</w:t>
      </w:r>
    </w:p>
    <w:p w14:paraId="62B3A64C" w14:textId="77777777" w:rsidR="00347907" w:rsidRDefault="00347907" w:rsidP="00EE5784">
      <w:pPr>
        <w:pStyle w:val="Heading3"/>
        <w:ind w:firstLine="720"/>
        <w:rPr>
          <w:lang w:val="en-NZ"/>
        </w:rPr>
      </w:pPr>
      <w:proofErr w:type="spellStart"/>
      <w:r>
        <w:rPr>
          <w:lang w:val="en-NZ"/>
        </w:rPr>
        <w:t>Whare</w:t>
      </w:r>
      <w:proofErr w:type="spellEnd"/>
      <w:r>
        <w:rPr>
          <w:lang w:val="en-NZ"/>
        </w:rPr>
        <w:t xml:space="preserve"> Nikau </w:t>
      </w:r>
    </w:p>
    <w:p w14:paraId="20FF9C62" w14:textId="77777777" w:rsidR="00915685" w:rsidRDefault="00915685" w:rsidP="00EE5784">
      <w:pPr>
        <w:pStyle w:val="Heading4"/>
        <w:spacing w:line="288" w:lineRule="auto"/>
        <w:rPr>
          <w:lang w:val="en-NZ"/>
        </w:rPr>
      </w:pPr>
      <w:r>
        <w:rPr>
          <w:lang w:val="en-NZ"/>
        </w:rPr>
        <w:tab/>
        <w:t>Long-Term:</w:t>
      </w:r>
      <w:r w:rsidR="00347907">
        <w:rPr>
          <w:lang w:val="en-NZ"/>
        </w:rPr>
        <w:tab/>
      </w:r>
    </w:p>
    <w:p w14:paraId="091F2F3A" w14:textId="77777777" w:rsidR="00347907" w:rsidRPr="00624A93" w:rsidRDefault="00624A93" w:rsidP="00EE5784">
      <w:pPr>
        <w:ind w:left="720"/>
        <w:rPr>
          <w:lang w:val="mi-NZ"/>
        </w:rPr>
      </w:pPr>
      <w:r>
        <w:rPr>
          <w:lang w:val="en-NZ"/>
        </w:rPr>
        <w:t xml:space="preserve">Residential services are available to BLENNZ </w:t>
      </w:r>
      <w:r>
        <w:rPr>
          <w:lang w:val="mi-NZ"/>
        </w:rPr>
        <w:t>ākonga as per the admission indicators outlined in the annual Resourcing Notice with the Ministry of Education.</w:t>
      </w:r>
    </w:p>
    <w:p w14:paraId="0C636C76" w14:textId="77777777" w:rsidR="00915685" w:rsidRDefault="00915685" w:rsidP="00EE5784">
      <w:pPr>
        <w:pStyle w:val="Heading4"/>
        <w:spacing w:line="288" w:lineRule="auto"/>
        <w:rPr>
          <w:lang w:val="en-NZ"/>
        </w:rPr>
      </w:pPr>
      <w:r>
        <w:rPr>
          <w:lang w:val="en-NZ"/>
        </w:rPr>
        <w:tab/>
        <w:t>Short-Term:</w:t>
      </w:r>
    </w:p>
    <w:p w14:paraId="5D449AAC" w14:textId="77777777" w:rsidR="00915685" w:rsidRDefault="00915685" w:rsidP="00EE5784">
      <w:pPr>
        <w:ind w:left="720"/>
        <w:rPr>
          <w:lang w:val="en-NZ"/>
        </w:rPr>
      </w:pPr>
      <w:r>
        <w:rPr>
          <w:lang w:val="en-NZ"/>
        </w:rPr>
        <w:t xml:space="preserve">Ākonga and their </w:t>
      </w:r>
      <w:r w:rsidR="00917330">
        <w:rPr>
          <w:lang w:val="en-NZ"/>
        </w:rPr>
        <w:t>whānau</w:t>
      </w:r>
      <w:r>
        <w:rPr>
          <w:lang w:val="en-NZ"/>
        </w:rPr>
        <w:t>/caregiver and the RTV or support person attending the National Assessment Service who live out of Auckland.</w:t>
      </w:r>
    </w:p>
    <w:p w14:paraId="2BEE8DFB" w14:textId="77777777" w:rsidR="00915685" w:rsidRDefault="00915685" w:rsidP="00EE5784">
      <w:pPr>
        <w:ind w:left="720"/>
        <w:rPr>
          <w:lang w:val="en-NZ"/>
        </w:rPr>
      </w:pPr>
      <w:r>
        <w:rPr>
          <w:lang w:val="en-NZ"/>
        </w:rPr>
        <w:lastRenderedPageBreak/>
        <w:t xml:space="preserve">Ākonga and their </w:t>
      </w:r>
      <w:r w:rsidR="00917330">
        <w:rPr>
          <w:lang w:val="en-NZ"/>
        </w:rPr>
        <w:t>whānau</w:t>
      </w:r>
      <w:r>
        <w:rPr>
          <w:lang w:val="en-NZ"/>
        </w:rPr>
        <w:t>/caregiver attending the National Assessment Service who live in the outer boundaries of Auckland and for whom daily travel would be problematic.</w:t>
      </w:r>
    </w:p>
    <w:p w14:paraId="79C99352" w14:textId="77777777" w:rsidR="00915685" w:rsidRDefault="087DBA57" w:rsidP="00EE5784">
      <w:pPr>
        <w:ind w:left="720"/>
        <w:rPr>
          <w:lang w:val="en-NZ"/>
        </w:rPr>
      </w:pPr>
      <w:r>
        <w:rPr>
          <w:lang w:val="en-NZ"/>
        </w:rPr>
        <w:t xml:space="preserve">Ākonga, </w:t>
      </w:r>
      <w:r w:rsidR="3AE997AF">
        <w:rPr>
          <w:lang w:val="en-NZ"/>
        </w:rPr>
        <w:t>whānau</w:t>
      </w:r>
      <w:r>
        <w:rPr>
          <w:lang w:val="en-NZ"/>
        </w:rPr>
        <w:t xml:space="preserve"> and BLENNZ staff attending an Immersion </w:t>
      </w:r>
      <w:r w:rsidR="12B098F3">
        <w:rPr>
          <w:lang w:val="en-NZ"/>
        </w:rPr>
        <w:t xml:space="preserve">or </w:t>
      </w:r>
      <w:r w:rsidR="3EAE5B26">
        <w:rPr>
          <w:lang w:val="en-NZ"/>
        </w:rPr>
        <w:t>professional development</w:t>
      </w:r>
      <w:r>
        <w:rPr>
          <w:lang w:val="en-NZ"/>
        </w:rPr>
        <w:t xml:space="preserve"> course. </w:t>
      </w:r>
      <w:proofErr w:type="gramStart"/>
      <w:r>
        <w:rPr>
          <w:lang w:val="en-NZ"/>
        </w:rPr>
        <w:t>First priority</w:t>
      </w:r>
      <w:proofErr w:type="gramEnd"/>
      <w:r>
        <w:rPr>
          <w:lang w:val="en-NZ"/>
        </w:rPr>
        <w:t xml:space="preserve"> for BLENNZ staff is for those based outside of Auckland.</w:t>
      </w:r>
    </w:p>
    <w:p w14:paraId="4525B962" w14:textId="77777777" w:rsidR="00915685" w:rsidRDefault="3AE997AF" w:rsidP="00EE5784">
      <w:pPr>
        <w:ind w:left="720"/>
        <w:rPr>
          <w:lang w:val="en-NZ"/>
        </w:rPr>
      </w:pPr>
      <w:r>
        <w:rPr>
          <w:lang w:val="en-NZ"/>
        </w:rPr>
        <w:t>Whānau</w:t>
      </w:r>
      <w:r w:rsidR="087DBA57">
        <w:rPr>
          <w:lang w:val="en-NZ"/>
        </w:rPr>
        <w:t>/caregivers from out of Auckland attending ākonga IP meetings or a medical emergency/hospitalisation of ākonga residing on campus.</w:t>
      </w:r>
    </w:p>
    <w:p w14:paraId="5345C389" w14:textId="77777777" w:rsidR="00915685" w:rsidRDefault="3AE997AF" w:rsidP="00EE5784">
      <w:pPr>
        <w:ind w:left="720"/>
        <w:rPr>
          <w:lang w:val="en-NZ"/>
        </w:rPr>
      </w:pPr>
      <w:r>
        <w:rPr>
          <w:lang w:val="en-NZ"/>
        </w:rPr>
        <w:t>Whānau</w:t>
      </w:r>
      <w:r w:rsidR="087DBA57">
        <w:rPr>
          <w:lang w:val="en-NZ"/>
        </w:rPr>
        <w:t>/caregivers visiting the campus as part of the ākonga application process for residential placement.</w:t>
      </w:r>
    </w:p>
    <w:p w14:paraId="366B3DEE" w14:textId="77777777" w:rsidR="00915685" w:rsidRDefault="3AE997AF" w:rsidP="00EE5784">
      <w:pPr>
        <w:ind w:left="720"/>
        <w:rPr>
          <w:lang w:val="en-NZ"/>
        </w:rPr>
      </w:pPr>
      <w:r>
        <w:rPr>
          <w:lang w:val="en-NZ"/>
        </w:rPr>
        <w:t>Whānau</w:t>
      </w:r>
      <w:r w:rsidR="087DBA57">
        <w:rPr>
          <w:lang w:val="en-NZ"/>
        </w:rPr>
        <w:t>/caregivers and ākonga who live outside of Auckland attending a specialist Ophthalmic Clinic appointment that is not part of a full educational assessment. This would be in exceptional circumstances and must have the approval of the Senior Manager.</w:t>
      </w:r>
    </w:p>
    <w:p w14:paraId="16BA8999" w14:textId="77777777" w:rsidR="00915685" w:rsidRDefault="00915685" w:rsidP="00EE5784">
      <w:pPr>
        <w:ind w:left="720"/>
      </w:pPr>
      <w:r>
        <w:t>BLENNZ Board of Trustees attending Board meetings or who are participating in the role of Trustee at a BLENNZ event.</w:t>
      </w:r>
    </w:p>
    <w:p w14:paraId="73705206" w14:textId="23DB169E" w:rsidR="00821A1B" w:rsidRDefault="00821A1B" w:rsidP="00821A1B">
      <w:pPr>
        <w:ind w:left="720"/>
        <w:rPr>
          <w:lang w:val="en-NZ"/>
        </w:rPr>
      </w:pPr>
      <w:r>
        <w:rPr>
          <w:lang w:val="en-NZ"/>
        </w:rPr>
        <w:t xml:space="preserve">BLENNZ staff who reside out of Auckland who are participating in a BLENNZ work related activity occurring in Auckland. </w:t>
      </w:r>
      <w:r w:rsidR="00173053">
        <w:rPr>
          <w:lang w:val="en-NZ"/>
        </w:rPr>
        <w:t>Unless there are approved extenuating circumstances, on site accommodation must be utilised first.</w:t>
      </w:r>
    </w:p>
    <w:p w14:paraId="0D3D750C" w14:textId="77777777" w:rsidR="00915685" w:rsidRDefault="00915685" w:rsidP="00EE5784">
      <w:pPr>
        <w:ind w:left="720"/>
      </w:pPr>
      <w:r>
        <w:t xml:space="preserve">Other adults who are not employed by BLENNZ but who are associated with BLENNZ, when it is agreed by the appropriate Senior Manager(s). Examples would be </w:t>
      </w:r>
      <w:r w:rsidR="00917330">
        <w:t>Blind &amp; Low Vision NZ</w:t>
      </w:r>
      <w:r>
        <w:t xml:space="preserve"> staff supporting Immersion courses, </w:t>
      </w:r>
      <w:r w:rsidR="00917330">
        <w:t>Whanau</w:t>
      </w:r>
      <w:r>
        <w:t xml:space="preserve"> of Vision Impaired accessing BLENNZ buildings for National Executive Committee meetings etc.</w:t>
      </w:r>
    </w:p>
    <w:p w14:paraId="09C00542" w14:textId="77777777" w:rsidR="00347907" w:rsidRDefault="00347907" w:rsidP="00EE5784">
      <w:pPr>
        <w:pStyle w:val="Heading3"/>
        <w:rPr>
          <w:lang w:val="en-NZ"/>
        </w:rPr>
      </w:pPr>
      <w:r>
        <w:rPr>
          <w:lang w:val="en-NZ"/>
        </w:rPr>
        <w:tab/>
      </w:r>
      <w:proofErr w:type="spellStart"/>
      <w:r w:rsidR="00D94D7D">
        <w:rPr>
          <w:lang w:val="en-NZ"/>
        </w:rPr>
        <w:t>Whare</w:t>
      </w:r>
      <w:proofErr w:type="spellEnd"/>
      <w:r w:rsidR="00D94D7D">
        <w:rPr>
          <w:lang w:val="en-NZ"/>
        </w:rPr>
        <w:t xml:space="preserve"> Titoki</w:t>
      </w:r>
    </w:p>
    <w:p w14:paraId="26967BC9" w14:textId="77777777" w:rsidR="00347907" w:rsidRDefault="00347907" w:rsidP="00EE5784">
      <w:pPr>
        <w:rPr>
          <w:lang w:val="en-NZ"/>
        </w:rPr>
      </w:pPr>
      <w:r>
        <w:rPr>
          <w:lang w:val="en-NZ"/>
        </w:rPr>
        <w:tab/>
        <w:t xml:space="preserve">Ākonga attending long-term residential </w:t>
      </w:r>
      <w:r w:rsidR="00033CFD">
        <w:rPr>
          <w:lang w:val="en-NZ"/>
        </w:rPr>
        <w:t>programmes.</w:t>
      </w:r>
    </w:p>
    <w:p w14:paraId="76179A72" w14:textId="77777777" w:rsidR="00347907" w:rsidRDefault="0ABD3FF5" w:rsidP="00EE5784">
      <w:pPr>
        <w:ind w:left="720"/>
        <w:rPr>
          <w:lang w:val="en-NZ"/>
        </w:rPr>
      </w:pPr>
      <w:r>
        <w:rPr>
          <w:lang w:val="en-NZ"/>
        </w:rPr>
        <w:t>Ākonga</w:t>
      </w:r>
      <w:r w:rsidR="3D55D677">
        <w:rPr>
          <w:lang w:val="en-NZ"/>
        </w:rPr>
        <w:t xml:space="preserve"> </w:t>
      </w:r>
      <w:r w:rsidR="3AE997AF">
        <w:rPr>
          <w:lang w:val="en-NZ"/>
        </w:rPr>
        <w:t xml:space="preserve">and parents </w:t>
      </w:r>
      <w:r w:rsidR="3D55D677">
        <w:rPr>
          <w:lang w:val="en-NZ"/>
        </w:rPr>
        <w:t xml:space="preserve">attending short-term Immersion courses </w:t>
      </w:r>
      <w:r>
        <w:rPr>
          <w:lang w:val="en-NZ"/>
        </w:rPr>
        <w:t>when the building is not in use for long-term placements.</w:t>
      </w:r>
      <w:r w:rsidR="0F3A47A2">
        <w:rPr>
          <w:lang w:val="en-NZ"/>
        </w:rPr>
        <w:t xml:space="preserve"> Access to the building will only be available outside of day programme hours.</w:t>
      </w:r>
    </w:p>
    <w:p w14:paraId="028CEBBF" w14:textId="77799497" w:rsidR="00033CFD" w:rsidRDefault="00033CFD" w:rsidP="00EE5784">
      <w:pPr>
        <w:ind w:left="720"/>
        <w:rPr>
          <w:lang w:val="en-NZ"/>
        </w:rPr>
      </w:pPr>
      <w:r>
        <w:rPr>
          <w:lang w:val="en-NZ"/>
        </w:rPr>
        <w:t>BLENNZ staff from out of Auckland when the building is not being used for either long-term or short-ter</w:t>
      </w:r>
      <w:r w:rsidR="00E25F50">
        <w:rPr>
          <w:lang w:val="en-NZ"/>
        </w:rPr>
        <w:t xml:space="preserve">m ākonga residential placements (night use and </w:t>
      </w:r>
      <w:proofErr w:type="spellStart"/>
      <w:proofErr w:type="gramStart"/>
      <w:r w:rsidR="00E25F50">
        <w:rPr>
          <w:lang w:val="en-NZ"/>
        </w:rPr>
        <w:t>after hours</w:t>
      </w:r>
      <w:proofErr w:type="spellEnd"/>
      <w:proofErr w:type="gramEnd"/>
      <w:r w:rsidR="00E25F50">
        <w:rPr>
          <w:lang w:val="en-NZ"/>
        </w:rPr>
        <w:t xml:space="preserve"> access only).</w:t>
      </w:r>
    </w:p>
    <w:p w14:paraId="733CBA40" w14:textId="77777777" w:rsidR="00081B17" w:rsidRDefault="00347907" w:rsidP="00EE5784">
      <w:pPr>
        <w:pStyle w:val="Heading3"/>
        <w:tabs>
          <w:tab w:val="left" w:pos="720"/>
          <w:tab w:val="left" w:pos="1440"/>
          <w:tab w:val="left" w:pos="2160"/>
          <w:tab w:val="left" w:pos="5319"/>
        </w:tabs>
      </w:pPr>
      <w:r>
        <w:rPr>
          <w:lang w:val="en-NZ"/>
        </w:rPr>
        <w:lastRenderedPageBreak/>
        <w:tab/>
      </w:r>
      <w:r w:rsidR="00081B17">
        <w:t>The Bach:</w:t>
      </w:r>
      <w:r w:rsidR="00D75F95">
        <w:tab/>
      </w:r>
    </w:p>
    <w:p w14:paraId="7BC22E79" w14:textId="77777777" w:rsidR="00081B17" w:rsidRDefault="00081B17" w:rsidP="00EE5784">
      <w:pPr>
        <w:ind w:left="720"/>
        <w:rPr>
          <w:lang w:val="en-NZ"/>
        </w:rPr>
      </w:pPr>
      <w:r>
        <w:rPr>
          <w:lang w:val="en-NZ"/>
        </w:rPr>
        <w:t>BLENNZ staff who are participating in a BLENNZ work related activity</w:t>
      </w:r>
      <w:r w:rsidR="00E25F50">
        <w:rPr>
          <w:lang w:val="en-NZ"/>
        </w:rPr>
        <w:t>.</w:t>
      </w:r>
    </w:p>
    <w:p w14:paraId="637DC739" w14:textId="77777777" w:rsidR="00E065F7" w:rsidRDefault="00E065F7" w:rsidP="00EE5784">
      <w:pPr>
        <w:ind w:left="720"/>
      </w:pPr>
      <w:r>
        <w:t xml:space="preserve">Other adults who are not employed by BLENNZ but who are associated with BLENNZ, when it is agreed by the appropriate Senior Manager(s). Examples would be Blind Foundation staff supporting Immersion courses, </w:t>
      </w:r>
      <w:r w:rsidR="00917330">
        <w:t>whānau</w:t>
      </w:r>
      <w:r>
        <w:t xml:space="preserve"> of </w:t>
      </w:r>
      <w:r w:rsidR="00E25F50">
        <w:t xml:space="preserve">Vision </w:t>
      </w:r>
      <w:r>
        <w:t>Impaired accessing BLENNZ buildings for National Executive Committee meetings etc.</w:t>
      </w:r>
    </w:p>
    <w:p w14:paraId="6B50CBDE" w14:textId="77777777" w:rsidR="00067390" w:rsidRDefault="00067390" w:rsidP="00EE5784">
      <w:pPr>
        <w:ind w:left="720"/>
      </w:pPr>
      <w:r>
        <w:t xml:space="preserve">The Bach is not for the use of ākonga unless approved on an exceptional </w:t>
      </w:r>
      <w:proofErr w:type="gramStart"/>
      <w:r>
        <w:t>one off</w:t>
      </w:r>
      <w:proofErr w:type="gramEnd"/>
      <w:r>
        <w:t xml:space="preserve"> basis by the </w:t>
      </w:r>
      <w:proofErr w:type="gramStart"/>
      <w:r>
        <w:t>Principal</w:t>
      </w:r>
      <w:proofErr w:type="gramEnd"/>
      <w:r>
        <w:t>.</w:t>
      </w:r>
    </w:p>
    <w:p w14:paraId="7BCBD556" w14:textId="7EC89A38" w:rsidR="000B0AFF" w:rsidRDefault="009468B1" w:rsidP="005B3A91">
      <w:pPr>
        <w:ind w:left="720" w:hanging="720"/>
      </w:pPr>
      <w:r>
        <w:t>4</w:t>
      </w:r>
      <w:r w:rsidR="003A254E">
        <w:t>.</w:t>
      </w:r>
      <w:r w:rsidR="003A254E">
        <w:tab/>
        <w:t>When no accommodation is available on site</w:t>
      </w:r>
      <w:r w:rsidR="00FA1535">
        <w:t>,</w:t>
      </w:r>
      <w:r w:rsidR="003A254E">
        <w:t xml:space="preserve"> bookings may need to be made off site. Approval for the use of </w:t>
      </w:r>
      <w:proofErr w:type="spellStart"/>
      <w:proofErr w:type="gramStart"/>
      <w:r w:rsidR="003A254E">
        <w:t>off site</w:t>
      </w:r>
      <w:proofErr w:type="spellEnd"/>
      <w:proofErr w:type="gramEnd"/>
      <w:r w:rsidR="003A254E">
        <w:t xml:space="preserve"> accommodation must be through the appropriate </w:t>
      </w:r>
      <w:r w:rsidR="00821A1B">
        <w:t>Practice Lead</w:t>
      </w:r>
      <w:r w:rsidR="003A254E">
        <w:t xml:space="preserve"> and/or Senior Manager. The choice of accommodation must </w:t>
      </w:r>
      <w:proofErr w:type="gramStart"/>
      <w:r w:rsidR="003A254E">
        <w:t>take into account</w:t>
      </w:r>
      <w:proofErr w:type="gramEnd"/>
      <w:r w:rsidR="003A254E">
        <w:t xml:space="preserve"> the safety of those staying off site, as well as fiscal responsibility.</w:t>
      </w:r>
    </w:p>
    <w:p w14:paraId="33351878" w14:textId="77777777" w:rsidR="00067390" w:rsidRDefault="009468B1" w:rsidP="00EE5784">
      <w:pPr>
        <w:ind w:left="720" w:hanging="720"/>
      </w:pPr>
      <w:r>
        <w:t>5</w:t>
      </w:r>
      <w:r w:rsidR="00052FE1">
        <w:t>.</w:t>
      </w:r>
      <w:r w:rsidR="00052FE1">
        <w:tab/>
        <w:t>All accommodation is available for use by BLENNZ services over the summer break. Requests must be made through the appropriate Senior Manager.</w:t>
      </w:r>
      <w:r w:rsidR="00067390">
        <w:t xml:space="preserve"> </w:t>
      </w:r>
    </w:p>
    <w:p w14:paraId="16F875FC" w14:textId="77777777" w:rsidR="00067390" w:rsidRDefault="00067390" w:rsidP="00EE5784">
      <w:pPr>
        <w:pStyle w:val="Heading2"/>
      </w:pPr>
      <w:r>
        <w:t>Supporting Documents:</w:t>
      </w:r>
    </w:p>
    <w:p w14:paraId="6D972BAD" w14:textId="363C81C9" w:rsidR="00F65424" w:rsidRDefault="00F65424" w:rsidP="00EE5784">
      <w:r>
        <w:t>Hostel Regulation</w:t>
      </w:r>
      <w:r w:rsidR="00821A1B">
        <w:t>s</w:t>
      </w:r>
      <w:r>
        <w:t xml:space="preserve"> No. 58</w:t>
      </w:r>
    </w:p>
    <w:p w14:paraId="54D2F579" w14:textId="2AA09594" w:rsidR="00067390" w:rsidRDefault="00067390" w:rsidP="00EE5784">
      <w:r>
        <w:t>Health &amp; Safety: Visitors Policy</w:t>
      </w:r>
    </w:p>
    <w:p w14:paraId="3C201440" w14:textId="77777777" w:rsidR="00D74085" w:rsidRDefault="00E25F50" w:rsidP="00EE5784">
      <w:r>
        <w:t>Fo</w:t>
      </w:r>
      <w:r w:rsidR="00917330">
        <w:t>o</w:t>
      </w:r>
      <w:r>
        <w:t>d Safety and Food Allergies Policies</w:t>
      </w:r>
    </w:p>
    <w:p w14:paraId="35B5A74E" w14:textId="77777777" w:rsidR="00624A93" w:rsidRDefault="00624A93" w:rsidP="00EE5784">
      <w:r>
        <w:t>Annual Ministry of Education Resourcing Notice</w:t>
      </w:r>
    </w:p>
    <w:p w14:paraId="14E01CD4" w14:textId="7D40139F" w:rsidR="00B96C98" w:rsidRDefault="00D74085" w:rsidP="00EE5784">
      <w:r>
        <w:t>Approved:</w:t>
      </w:r>
      <w:r w:rsidR="006B60AF">
        <w:tab/>
      </w:r>
      <w:r w:rsidR="00914CE0">
        <w:rPr>
          <w:noProof/>
        </w:rPr>
        <w:drawing>
          <wp:inline distT="0" distB="0" distL="0" distR="0" wp14:anchorId="1E3DB98B" wp14:editId="4103C9DC">
            <wp:extent cx="1504950" cy="83312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inline>
        </w:drawing>
      </w:r>
    </w:p>
    <w:p w14:paraId="74BE9B0C" w14:textId="44836C5A" w:rsidR="00B96C98" w:rsidRDefault="00B96C98" w:rsidP="00EE5784">
      <w:r>
        <w:t>Date:</w:t>
      </w:r>
      <w:r w:rsidR="006B60AF">
        <w:tab/>
      </w:r>
      <w:r w:rsidR="00914CE0">
        <w:t>26 March 2025</w:t>
      </w:r>
    </w:p>
    <w:p w14:paraId="4F4F17BD" w14:textId="6F0F9205" w:rsidR="009353A0" w:rsidRPr="009353A0" w:rsidRDefault="00B96C98" w:rsidP="00EE5784">
      <w:pPr>
        <w:rPr>
          <w:lang w:val="en-NZ"/>
        </w:rPr>
      </w:pPr>
      <w:r>
        <w:t>Next Review:</w:t>
      </w:r>
      <w:r>
        <w:tab/>
        <w:t xml:space="preserve"> 202</w:t>
      </w:r>
      <w:r w:rsidR="006022FF">
        <w:t>8</w:t>
      </w:r>
      <w:r w:rsidR="00D74085">
        <w:tab/>
      </w:r>
    </w:p>
    <w:sectPr w:rsidR="009353A0" w:rsidRPr="009353A0" w:rsidSect="00917330">
      <w:footerReference w:type="default" r:id="rId1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1B25" w14:textId="77777777" w:rsidR="001D6ACD" w:rsidRDefault="001D6ACD" w:rsidP="00301AEE">
      <w:pPr>
        <w:spacing w:after="0" w:line="240" w:lineRule="auto"/>
      </w:pPr>
      <w:r>
        <w:separator/>
      </w:r>
    </w:p>
  </w:endnote>
  <w:endnote w:type="continuationSeparator" w:id="0">
    <w:p w14:paraId="53AB98C5" w14:textId="77777777" w:rsidR="001D6ACD" w:rsidRDefault="001D6ACD" w:rsidP="00301AEE">
      <w:pPr>
        <w:spacing w:after="0" w:line="240" w:lineRule="auto"/>
      </w:pPr>
      <w:r>
        <w:continuationSeparator/>
      </w:r>
    </w:p>
  </w:endnote>
  <w:endnote w:type="continuationNotice" w:id="1">
    <w:p w14:paraId="0FB21E3F" w14:textId="77777777" w:rsidR="001D6ACD" w:rsidRDefault="001D6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09F4" w14:textId="2DE2AB30" w:rsidR="00301AEE" w:rsidRDefault="00347907" w:rsidP="007943B8">
    <w:pPr>
      <w:pStyle w:val="Footer"/>
      <w:spacing w:before="0" w:beforeAutospacing="0" w:afterAutospacing="0"/>
      <w:rPr>
        <w:b/>
        <w:bCs/>
      </w:rPr>
    </w:pPr>
    <w:r>
      <w:t>OP4-14 20</w:t>
    </w:r>
    <w:r w:rsidR="00B96C98">
      <w:t>2</w:t>
    </w:r>
    <w:r w:rsidR="006022FF">
      <w:t>5</w:t>
    </w:r>
    <w:r>
      <w:t xml:space="preserve"> Use of BLENNZ Residential Accommodation</w:t>
    </w:r>
    <w:r>
      <w:tab/>
      <w:t xml:space="preserve">Page </w:t>
    </w:r>
    <w:r>
      <w:rPr>
        <w:b/>
        <w:bCs/>
      </w:rPr>
      <w:fldChar w:fldCharType="begin"/>
    </w:r>
    <w:r>
      <w:rPr>
        <w:b/>
        <w:bCs/>
      </w:rPr>
      <w:instrText xml:space="preserve"> PAGE  \* Arabic  \* MERGEFORMAT </w:instrText>
    </w:r>
    <w:r>
      <w:rPr>
        <w:b/>
        <w:bCs/>
      </w:rPr>
      <w:fldChar w:fldCharType="separate"/>
    </w:r>
    <w:r w:rsidR="006B60A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B60AF">
      <w:rPr>
        <w:b/>
        <w:bCs/>
        <w:noProof/>
      </w:rPr>
      <w:t>2</w:t>
    </w:r>
    <w:r>
      <w:rPr>
        <w:b/>
        <w:bCs/>
      </w:rPr>
      <w:fldChar w:fldCharType="end"/>
    </w:r>
  </w:p>
  <w:p w14:paraId="320DB387" w14:textId="5932A825" w:rsidR="00347907" w:rsidRPr="00347907" w:rsidRDefault="00D07E3B" w:rsidP="007943B8">
    <w:pPr>
      <w:pStyle w:val="Footer"/>
      <w:spacing w:before="0" w:beforeAutospacing="0" w:afterAutospacing="0"/>
      <w:rPr>
        <w:bCs/>
      </w:rPr>
    </w:pPr>
    <w:r>
      <w:rPr>
        <w:bCs/>
      </w:rPr>
      <w:t>March</w:t>
    </w:r>
    <w:r w:rsidR="00917330">
      <w:rPr>
        <w:bCs/>
      </w:rPr>
      <w:t xml:space="preserve"> 202</w:t>
    </w:r>
    <w:r w:rsidR="006022FF">
      <w:rPr>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EBBC" w14:textId="77777777" w:rsidR="001D6ACD" w:rsidRDefault="001D6ACD" w:rsidP="00301AEE">
      <w:pPr>
        <w:spacing w:after="0" w:line="240" w:lineRule="auto"/>
      </w:pPr>
      <w:r>
        <w:separator/>
      </w:r>
    </w:p>
  </w:footnote>
  <w:footnote w:type="continuationSeparator" w:id="0">
    <w:p w14:paraId="2A3559E4" w14:textId="77777777" w:rsidR="001D6ACD" w:rsidRDefault="001D6ACD" w:rsidP="00301AEE">
      <w:pPr>
        <w:spacing w:after="0" w:line="240" w:lineRule="auto"/>
      </w:pPr>
      <w:r>
        <w:continuationSeparator/>
      </w:r>
    </w:p>
  </w:footnote>
  <w:footnote w:type="continuationNotice" w:id="1">
    <w:p w14:paraId="5F62D538" w14:textId="77777777" w:rsidR="001D6ACD" w:rsidRDefault="001D6A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1F8"/>
    <w:multiLevelType w:val="hybridMultilevel"/>
    <w:tmpl w:val="90F2012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0B75D4"/>
    <w:multiLevelType w:val="hybridMultilevel"/>
    <w:tmpl w:val="47A86046"/>
    <w:lvl w:ilvl="0" w:tplc="14090001">
      <w:start w:val="1"/>
      <w:numFmt w:val="bullet"/>
      <w:lvlText w:val=""/>
      <w:lvlJc w:val="left"/>
      <w:pPr>
        <w:ind w:left="1514" w:hanging="360"/>
      </w:pPr>
      <w:rPr>
        <w:rFonts w:ascii="Symbol" w:hAnsi="Symbol" w:hint="default"/>
      </w:rPr>
    </w:lvl>
    <w:lvl w:ilvl="1" w:tplc="14090003" w:tentative="1">
      <w:start w:val="1"/>
      <w:numFmt w:val="bullet"/>
      <w:lvlText w:val="o"/>
      <w:lvlJc w:val="left"/>
      <w:pPr>
        <w:ind w:left="2234" w:hanging="360"/>
      </w:pPr>
      <w:rPr>
        <w:rFonts w:ascii="Courier New" w:hAnsi="Courier New" w:cs="Courier New" w:hint="default"/>
      </w:rPr>
    </w:lvl>
    <w:lvl w:ilvl="2" w:tplc="14090005" w:tentative="1">
      <w:start w:val="1"/>
      <w:numFmt w:val="bullet"/>
      <w:lvlText w:val=""/>
      <w:lvlJc w:val="left"/>
      <w:pPr>
        <w:ind w:left="2954" w:hanging="360"/>
      </w:pPr>
      <w:rPr>
        <w:rFonts w:ascii="Wingdings" w:hAnsi="Wingdings" w:hint="default"/>
      </w:rPr>
    </w:lvl>
    <w:lvl w:ilvl="3" w:tplc="14090001" w:tentative="1">
      <w:start w:val="1"/>
      <w:numFmt w:val="bullet"/>
      <w:lvlText w:val=""/>
      <w:lvlJc w:val="left"/>
      <w:pPr>
        <w:ind w:left="3674" w:hanging="360"/>
      </w:pPr>
      <w:rPr>
        <w:rFonts w:ascii="Symbol" w:hAnsi="Symbol" w:hint="default"/>
      </w:rPr>
    </w:lvl>
    <w:lvl w:ilvl="4" w:tplc="14090003" w:tentative="1">
      <w:start w:val="1"/>
      <w:numFmt w:val="bullet"/>
      <w:lvlText w:val="o"/>
      <w:lvlJc w:val="left"/>
      <w:pPr>
        <w:ind w:left="4394" w:hanging="360"/>
      </w:pPr>
      <w:rPr>
        <w:rFonts w:ascii="Courier New" w:hAnsi="Courier New" w:cs="Courier New" w:hint="default"/>
      </w:rPr>
    </w:lvl>
    <w:lvl w:ilvl="5" w:tplc="14090005" w:tentative="1">
      <w:start w:val="1"/>
      <w:numFmt w:val="bullet"/>
      <w:lvlText w:val=""/>
      <w:lvlJc w:val="left"/>
      <w:pPr>
        <w:ind w:left="5114" w:hanging="360"/>
      </w:pPr>
      <w:rPr>
        <w:rFonts w:ascii="Wingdings" w:hAnsi="Wingdings" w:hint="default"/>
      </w:rPr>
    </w:lvl>
    <w:lvl w:ilvl="6" w:tplc="14090001" w:tentative="1">
      <w:start w:val="1"/>
      <w:numFmt w:val="bullet"/>
      <w:lvlText w:val=""/>
      <w:lvlJc w:val="left"/>
      <w:pPr>
        <w:ind w:left="5834" w:hanging="360"/>
      </w:pPr>
      <w:rPr>
        <w:rFonts w:ascii="Symbol" w:hAnsi="Symbol" w:hint="default"/>
      </w:rPr>
    </w:lvl>
    <w:lvl w:ilvl="7" w:tplc="14090003" w:tentative="1">
      <w:start w:val="1"/>
      <w:numFmt w:val="bullet"/>
      <w:lvlText w:val="o"/>
      <w:lvlJc w:val="left"/>
      <w:pPr>
        <w:ind w:left="6554" w:hanging="360"/>
      </w:pPr>
      <w:rPr>
        <w:rFonts w:ascii="Courier New" w:hAnsi="Courier New" w:cs="Courier New" w:hint="default"/>
      </w:rPr>
    </w:lvl>
    <w:lvl w:ilvl="8" w:tplc="14090005" w:tentative="1">
      <w:start w:val="1"/>
      <w:numFmt w:val="bullet"/>
      <w:lvlText w:val=""/>
      <w:lvlJc w:val="left"/>
      <w:pPr>
        <w:ind w:left="7274" w:hanging="360"/>
      </w:pPr>
      <w:rPr>
        <w:rFonts w:ascii="Wingdings" w:hAnsi="Wingdings" w:hint="default"/>
      </w:rPr>
    </w:lvl>
  </w:abstractNum>
  <w:abstractNum w:abstractNumId="4" w15:restartNumberingAfterBreak="0">
    <w:nsid w:val="22C506DB"/>
    <w:multiLevelType w:val="hybridMultilevel"/>
    <w:tmpl w:val="7D06CE7A"/>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5"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E585A36"/>
    <w:multiLevelType w:val="hybridMultilevel"/>
    <w:tmpl w:val="3A8A0ADC"/>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7" w15:restartNumberingAfterBreak="0">
    <w:nsid w:val="5D554B09"/>
    <w:multiLevelType w:val="hybridMultilevel"/>
    <w:tmpl w:val="DD04612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6BE50A33"/>
    <w:multiLevelType w:val="hybridMultilevel"/>
    <w:tmpl w:val="0DFA8788"/>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16cid:durableId="1861627799">
    <w:abstractNumId w:val="2"/>
  </w:num>
  <w:num w:numId="2" w16cid:durableId="740299131">
    <w:abstractNumId w:val="1"/>
  </w:num>
  <w:num w:numId="3" w16cid:durableId="1322192727">
    <w:abstractNumId w:val="5"/>
  </w:num>
  <w:num w:numId="4" w16cid:durableId="2050841241">
    <w:abstractNumId w:val="6"/>
  </w:num>
  <w:num w:numId="5" w16cid:durableId="1633901440">
    <w:abstractNumId w:val="8"/>
  </w:num>
  <w:num w:numId="6" w16cid:durableId="1390302904">
    <w:abstractNumId w:val="4"/>
  </w:num>
  <w:num w:numId="7" w16cid:durableId="140008054">
    <w:abstractNumId w:val="3"/>
  </w:num>
  <w:num w:numId="8" w16cid:durableId="2129539510">
    <w:abstractNumId w:val="0"/>
  </w:num>
  <w:num w:numId="9" w16cid:durableId="694623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A0"/>
    <w:rsid w:val="0000755D"/>
    <w:rsid w:val="00033CFD"/>
    <w:rsid w:val="000417C5"/>
    <w:rsid w:val="00052FE1"/>
    <w:rsid w:val="000607FC"/>
    <w:rsid w:val="00067390"/>
    <w:rsid w:val="000779D0"/>
    <w:rsid w:val="00081B17"/>
    <w:rsid w:val="000A0BD3"/>
    <w:rsid w:val="000A207F"/>
    <w:rsid w:val="000B0AFF"/>
    <w:rsid w:val="00116C15"/>
    <w:rsid w:val="00146EB9"/>
    <w:rsid w:val="00149A8D"/>
    <w:rsid w:val="001529C5"/>
    <w:rsid w:val="0016798C"/>
    <w:rsid w:val="00173053"/>
    <w:rsid w:val="001B1A1D"/>
    <w:rsid w:val="001C4214"/>
    <w:rsid w:val="001D1243"/>
    <w:rsid w:val="001D6ACD"/>
    <w:rsid w:val="00250EF9"/>
    <w:rsid w:val="00276E63"/>
    <w:rsid w:val="002907B9"/>
    <w:rsid w:val="002A600D"/>
    <w:rsid w:val="00301AEE"/>
    <w:rsid w:val="00347907"/>
    <w:rsid w:val="0035006E"/>
    <w:rsid w:val="003764B6"/>
    <w:rsid w:val="003A254E"/>
    <w:rsid w:val="00400DED"/>
    <w:rsid w:val="0043298F"/>
    <w:rsid w:val="0048009E"/>
    <w:rsid w:val="004C0AB4"/>
    <w:rsid w:val="004E2635"/>
    <w:rsid w:val="0054694C"/>
    <w:rsid w:val="00560ECB"/>
    <w:rsid w:val="005924F7"/>
    <w:rsid w:val="005B3A91"/>
    <w:rsid w:val="005C292A"/>
    <w:rsid w:val="005C70DC"/>
    <w:rsid w:val="006022FF"/>
    <w:rsid w:val="00624A93"/>
    <w:rsid w:val="00640028"/>
    <w:rsid w:val="006412C5"/>
    <w:rsid w:val="006B60AF"/>
    <w:rsid w:val="006C0DF0"/>
    <w:rsid w:val="006D5811"/>
    <w:rsid w:val="007373D9"/>
    <w:rsid w:val="007943B8"/>
    <w:rsid w:val="007B229B"/>
    <w:rsid w:val="00821A1B"/>
    <w:rsid w:val="0087097F"/>
    <w:rsid w:val="00885D51"/>
    <w:rsid w:val="0090289C"/>
    <w:rsid w:val="00914CE0"/>
    <w:rsid w:val="00915685"/>
    <w:rsid w:val="00917330"/>
    <w:rsid w:val="00927027"/>
    <w:rsid w:val="00930831"/>
    <w:rsid w:val="009353A0"/>
    <w:rsid w:val="009468B1"/>
    <w:rsid w:val="00947498"/>
    <w:rsid w:val="0095297B"/>
    <w:rsid w:val="00952FAB"/>
    <w:rsid w:val="00A00589"/>
    <w:rsid w:val="00A021A5"/>
    <w:rsid w:val="00A06169"/>
    <w:rsid w:val="00AB551F"/>
    <w:rsid w:val="00AC7BC5"/>
    <w:rsid w:val="00AE1194"/>
    <w:rsid w:val="00B96C98"/>
    <w:rsid w:val="00BC7D5C"/>
    <w:rsid w:val="00C20F4D"/>
    <w:rsid w:val="00C71D7C"/>
    <w:rsid w:val="00C86E01"/>
    <w:rsid w:val="00C975F3"/>
    <w:rsid w:val="00CA38FE"/>
    <w:rsid w:val="00CC5439"/>
    <w:rsid w:val="00D05EF6"/>
    <w:rsid w:val="00D07E3B"/>
    <w:rsid w:val="00D108CB"/>
    <w:rsid w:val="00D26424"/>
    <w:rsid w:val="00D44D24"/>
    <w:rsid w:val="00D74085"/>
    <w:rsid w:val="00D75F95"/>
    <w:rsid w:val="00D8438A"/>
    <w:rsid w:val="00D94D7D"/>
    <w:rsid w:val="00DB206D"/>
    <w:rsid w:val="00DC5FD1"/>
    <w:rsid w:val="00E065F7"/>
    <w:rsid w:val="00E25F50"/>
    <w:rsid w:val="00E325C0"/>
    <w:rsid w:val="00E3524B"/>
    <w:rsid w:val="00E51D12"/>
    <w:rsid w:val="00E73731"/>
    <w:rsid w:val="00EE5784"/>
    <w:rsid w:val="00EF28A8"/>
    <w:rsid w:val="00F03F9C"/>
    <w:rsid w:val="00F14E33"/>
    <w:rsid w:val="00F1592D"/>
    <w:rsid w:val="00F45227"/>
    <w:rsid w:val="00F65424"/>
    <w:rsid w:val="00FA1535"/>
    <w:rsid w:val="00FC212E"/>
    <w:rsid w:val="00FF24ED"/>
    <w:rsid w:val="087DBA57"/>
    <w:rsid w:val="0ABD3FF5"/>
    <w:rsid w:val="0F3A47A2"/>
    <w:rsid w:val="12B098F3"/>
    <w:rsid w:val="2230C3CA"/>
    <w:rsid w:val="2639C308"/>
    <w:rsid w:val="271708F6"/>
    <w:rsid w:val="3AE997AF"/>
    <w:rsid w:val="3D55D677"/>
    <w:rsid w:val="3EAE5B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D0B"/>
  <w15:docId w15:val="{918C0507-DB1C-49F3-9246-4802EECA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91"/>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30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AEE"/>
    <w:rPr>
      <w:rFonts w:ascii="Arial" w:hAnsi="Arial"/>
      <w:sz w:val="24"/>
    </w:rPr>
  </w:style>
  <w:style w:type="paragraph" w:styleId="Footer">
    <w:name w:val="footer"/>
    <w:basedOn w:val="Normal"/>
    <w:link w:val="FooterChar"/>
    <w:uiPriority w:val="99"/>
    <w:unhideWhenUsed/>
    <w:rsid w:val="0030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AEE"/>
    <w:rPr>
      <w:rFonts w:ascii="Arial" w:hAnsi="Arial"/>
      <w:sz w:val="24"/>
    </w:rPr>
  </w:style>
  <w:style w:type="paragraph" w:styleId="ListParagraph">
    <w:name w:val="List Paragraph"/>
    <w:basedOn w:val="Normal"/>
    <w:uiPriority w:val="34"/>
    <w:qFormat/>
    <w:rsid w:val="009353A0"/>
    <w:pPr>
      <w:ind w:left="720"/>
      <w:contextualSpacing/>
    </w:pPr>
  </w:style>
  <w:style w:type="paragraph" w:styleId="NoSpacing">
    <w:name w:val="No Spacing"/>
    <w:uiPriority w:val="1"/>
    <w:qFormat/>
    <w:rsid w:val="009353A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purl.org/dc/elements/1.1/"/>
    <ds:schemaRef ds:uri="ba88ec04-25a7-4cd5-abd9-12b8e17c889a"/>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06377ac-65e5-4de6-a576-ed9bbd38d59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D0DCD0C-338E-45C0-B90F-D323357E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4093</Characters>
  <Application>Microsoft Office Word</Application>
  <DocSecurity>0</DocSecurity>
  <Lines>34</Lines>
  <Paragraphs>9</Paragraphs>
  <ScaleCrop>false</ScaleCrop>
  <Company>Hewlett-Packard</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Bridget Lamphee</cp:lastModifiedBy>
  <cp:revision>2</cp:revision>
  <cp:lastPrinted>2025-03-12T22:43:00Z</cp:lastPrinted>
  <dcterms:created xsi:type="dcterms:W3CDTF">2025-04-16T00:00:00Z</dcterms:created>
  <dcterms:modified xsi:type="dcterms:W3CDTF">2025-04-16T00:00:00Z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