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EA16A" w14:textId="77777777" w:rsidR="00DE6577" w:rsidRDefault="00DE6577" w:rsidP="00DE6577">
      <w:pPr>
        <w:pStyle w:val="Heading1"/>
      </w:pPr>
      <w:r>
        <w:t>Operational Policy: Protected Disclosures (NAG 6)</w:t>
      </w:r>
    </w:p>
    <w:p w14:paraId="1EF00CA8" w14:textId="349B966B" w:rsidR="00DE6577" w:rsidRDefault="001E7DD5" w:rsidP="00197673">
      <w:pPr>
        <w:pStyle w:val="Heading2"/>
      </w:pPr>
      <w:r>
        <w:t>Blind &amp; Low Vision Education Network NZ</w:t>
      </w:r>
    </w:p>
    <w:p w14:paraId="7A223C0E" w14:textId="77777777" w:rsidR="00DE6577" w:rsidRDefault="00DE6577" w:rsidP="00DE6577">
      <w:pPr>
        <w:pStyle w:val="Heading2"/>
      </w:pPr>
      <w:r>
        <w:t>Statement of Intent:</w:t>
      </w:r>
    </w:p>
    <w:p w14:paraId="0E66D9AD" w14:textId="77777777" w:rsidR="00DE6577" w:rsidRDefault="00DE6577" w:rsidP="00DE6577">
      <w:r>
        <w:t>The Blind &amp; Low Vision Education Network NZ (BLENNZ) will comply with the Protected Disclosures Act 2000.</w:t>
      </w:r>
    </w:p>
    <w:p w14:paraId="5B7A18EC" w14:textId="1A2BA0C9" w:rsidR="00DE6577" w:rsidRDefault="00DE6577" w:rsidP="00DE6577">
      <w:r>
        <w:t>The purpose of this policy is to provide information and guidance to employees who wish to report serious wrongdoing within BLENNZ or in respect of any activities involving BLENNZ staff or Board members.</w:t>
      </w:r>
    </w:p>
    <w:p w14:paraId="761AF69D" w14:textId="77777777" w:rsidR="00DE6577" w:rsidRDefault="00DE6577" w:rsidP="00DE6577">
      <w:pPr>
        <w:pStyle w:val="Heading2"/>
      </w:pPr>
      <w:r>
        <w:t>What is a Protected Disclosure</w:t>
      </w:r>
    </w:p>
    <w:p w14:paraId="0F621004" w14:textId="4ED40BA1" w:rsidR="00DE6577" w:rsidRDefault="00DE6577" w:rsidP="00DE6577">
      <w:r>
        <w:t>A protected disclosure is a declaration made by an employee where they believe serious wrongdoing has occurred. Employees making disclosures will be protected against retaliatory or disciplinary action and will not be liable for civil or criminal proceedings related to the disclosure.</w:t>
      </w:r>
    </w:p>
    <w:p w14:paraId="400D3488" w14:textId="77777777" w:rsidR="00DE6577" w:rsidRDefault="00DE6577" w:rsidP="00DE6577">
      <w:pPr>
        <w:pStyle w:val="Heading2"/>
      </w:pPr>
      <w:r>
        <w:t>Definition of Serious Wrongdoing</w:t>
      </w:r>
    </w:p>
    <w:p w14:paraId="55A51F65" w14:textId="6205135D" w:rsidR="00DE6577" w:rsidRDefault="00DE6577" w:rsidP="00DE6577">
      <w:r>
        <w:t>Serious wrongdoing includes any serious wrongdoing for any of the following type</w:t>
      </w:r>
      <w:r w:rsidR="004E3259">
        <w:t>s, whether the wrongdoing occurs before or after the commencement of this act</w:t>
      </w:r>
      <w:r>
        <w:t>:</w:t>
      </w:r>
    </w:p>
    <w:p w14:paraId="3AB2454D" w14:textId="77777777" w:rsidR="00DE6577" w:rsidRPr="002C320E" w:rsidRDefault="00DE6577" w:rsidP="00197673">
      <w:pPr>
        <w:numPr>
          <w:ilvl w:val="0"/>
          <w:numId w:val="4"/>
        </w:numPr>
        <w:ind w:left="357" w:hanging="357"/>
      </w:pPr>
      <w:r w:rsidRPr="002C320E">
        <w:t>an unlawful, corrupt, or irregular use of funds or resources of a public sector organisation; or</w:t>
      </w:r>
    </w:p>
    <w:p w14:paraId="64196C1E" w14:textId="77777777" w:rsidR="00DE6577" w:rsidRPr="002C320E" w:rsidRDefault="00DE6577" w:rsidP="00197673">
      <w:pPr>
        <w:numPr>
          <w:ilvl w:val="0"/>
          <w:numId w:val="4"/>
        </w:numPr>
        <w:ind w:left="357" w:hanging="357"/>
      </w:pPr>
      <w:r w:rsidRPr="002C320E">
        <w:t>an act omission or course of conduct that constitutes a serious risk to public health or public safety or the environment; or</w:t>
      </w:r>
    </w:p>
    <w:p w14:paraId="3E55B03D" w14:textId="628F9B5E" w:rsidR="00DE6577" w:rsidRPr="002C320E" w:rsidRDefault="00DE6577" w:rsidP="00197673">
      <w:pPr>
        <w:numPr>
          <w:ilvl w:val="0"/>
          <w:numId w:val="4"/>
        </w:numPr>
        <w:ind w:left="357" w:hanging="357"/>
      </w:pPr>
      <w:r w:rsidRPr="002C320E">
        <w:t>an act, omission, or course o</w:t>
      </w:r>
      <w:r w:rsidR="00C74BAC">
        <w:t>f</w:t>
      </w:r>
      <w:r w:rsidRPr="002C320E">
        <w:t xml:space="preserve"> conduct that constitutes a serious risk to the maintenance of law, including the prevention, investigation, and detection of offences and the right to fair trial; or </w:t>
      </w:r>
    </w:p>
    <w:p w14:paraId="7856D8DE" w14:textId="77777777" w:rsidR="00DE6577" w:rsidRPr="002C320E" w:rsidRDefault="00DE6577" w:rsidP="00197673">
      <w:pPr>
        <w:numPr>
          <w:ilvl w:val="0"/>
          <w:numId w:val="4"/>
        </w:numPr>
        <w:ind w:left="357" w:hanging="357"/>
      </w:pPr>
      <w:r w:rsidRPr="002C320E">
        <w:t>an act, omission, or course of conduct that constitutes an offence; or</w:t>
      </w:r>
    </w:p>
    <w:p w14:paraId="36CAAC25" w14:textId="77777777" w:rsidR="00DE6577" w:rsidRPr="002C320E" w:rsidRDefault="00DE6577" w:rsidP="00197673">
      <w:pPr>
        <w:numPr>
          <w:ilvl w:val="0"/>
          <w:numId w:val="4"/>
        </w:numPr>
        <w:ind w:left="357" w:hanging="357"/>
      </w:pPr>
      <w:r w:rsidRPr="002C320E">
        <w:t>an act, omission, or course of conduct by a public official that is oppressive, improperly discriminatory, or grossly negligent, or that constitutes gross mismanagement; -</w:t>
      </w:r>
    </w:p>
    <w:p w14:paraId="4BE15EA4" w14:textId="77777777" w:rsidR="00DE6577" w:rsidRPr="002C320E" w:rsidRDefault="00DE6577" w:rsidP="00DE6577">
      <w:pPr>
        <w:pStyle w:val="Heading2"/>
      </w:pPr>
      <w:r w:rsidRPr="002C320E">
        <w:t>Conditions for Disclosure</w:t>
      </w:r>
    </w:p>
    <w:p w14:paraId="1FF89764" w14:textId="77777777" w:rsidR="00DE6577" w:rsidRPr="002C320E" w:rsidRDefault="00DE6577" w:rsidP="00DE6577">
      <w:r w:rsidRPr="002C320E">
        <w:t xml:space="preserve">Before making a </w:t>
      </w:r>
      <w:proofErr w:type="gramStart"/>
      <w:r w:rsidRPr="002C320E">
        <w:t>disclosure</w:t>
      </w:r>
      <w:proofErr w:type="gramEnd"/>
      <w:r w:rsidRPr="002C320E">
        <w:t xml:space="preserve"> the employee should be sure the following conditions are met:</w:t>
      </w:r>
    </w:p>
    <w:p w14:paraId="1ED49AB1" w14:textId="77777777" w:rsidR="00DE6577" w:rsidRPr="002C320E" w:rsidRDefault="00DE6577" w:rsidP="00DE6577">
      <w:pPr>
        <w:numPr>
          <w:ilvl w:val="0"/>
          <w:numId w:val="5"/>
        </w:numPr>
        <w:spacing w:after="0" w:line="240" w:lineRule="auto"/>
      </w:pPr>
      <w:r w:rsidRPr="002C320E">
        <w:t>the information is about serious wrongdoing in or by BLENNZ,</w:t>
      </w:r>
    </w:p>
    <w:p w14:paraId="5D3F3717" w14:textId="77777777" w:rsidR="00DE6577" w:rsidRPr="002C320E" w:rsidRDefault="00DE6577" w:rsidP="00CE5FA8">
      <w:pPr>
        <w:numPr>
          <w:ilvl w:val="0"/>
          <w:numId w:val="5"/>
        </w:numPr>
        <w:ind w:left="357" w:hanging="357"/>
      </w:pPr>
      <w:r w:rsidRPr="002C320E">
        <w:t xml:space="preserve">the employee believes on reasonable grounds the information to be true or is likely to be </w:t>
      </w:r>
      <w:proofErr w:type="gramStart"/>
      <w:r w:rsidRPr="002C320E">
        <w:t>true;</w:t>
      </w:r>
      <w:proofErr w:type="gramEnd"/>
    </w:p>
    <w:p w14:paraId="5D314F6F" w14:textId="77777777" w:rsidR="00DE6577" w:rsidRPr="002C320E" w:rsidRDefault="00DE6577" w:rsidP="00CE5FA8">
      <w:pPr>
        <w:numPr>
          <w:ilvl w:val="0"/>
          <w:numId w:val="5"/>
        </w:numPr>
        <w:ind w:left="357" w:hanging="357"/>
      </w:pPr>
      <w:r w:rsidRPr="002C320E">
        <w:lastRenderedPageBreak/>
        <w:t>the employee wishes the wrongdoing to be investigated; and</w:t>
      </w:r>
    </w:p>
    <w:p w14:paraId="5DA4DD1A" w14:textId="4AB8E405" w:rsidR="00DE6577" w:rsidRPr="002C320E" w:rsidRDefault="00DE6577" w:rsidP="00CE5FA8">
      <w:pPr>
        <w:numPr>
          <w:ilvl w:val="0"/>
          <w:numId w:val="5"/>
        </w:numPr>
        <w:ind w:left="357" w:hanging="357"/>
      </w:pPr>
      <w:r w:rsidRPr="002C320E">
        <w:t>the employee wishes the disclosure to be protected.</w:t>
      </w:r>
    </w:p>
    <w:p w14:paraId="18C325E2" w14:textId="77777777" w:rsidR="00DE6577" w:rsidRPr="002C320E" w:rsidRDefault="00DE6577" w:rsidP="00DE6577">
      <w:pPr>
        <w:pStyle w:val="Heading3"/>
      </w:pPr>
      <w:r w:rsidRPr="002C320E">
        <w:rPr>
          <w:b/>
          <w:bCs/>
        </w:rPr>
        <w:t>Who can make a disclosure?</w:t>
      </w:r>
    </w:p>
    <w:p w14:paraId="1191171C" w14:textId="77777777" w:rsidR="00DE6577" w:rsidRPr="002C320E" w:rsidRDefault="00DE6577" w:rsidP="00DE6577">
      <w:r w:rsidRPr="002C320E">
        <w:t>Any employee of BLENNZ can make a disclosure. For the purposes of this policy an employee includes:</w:t>
      </w:r>
    </w:p>
    <w:p w14:paraId="06305602" w14:textId="77777777" w:rsidR="00DE6577" w:rsidRPr="002C320E" w:rsidRDefault="00DE6577" w:rsidP="00CE5FA8">
      <w:pPr>
        <w:numPr>
          <w:ilvl w:val="0"/>
          <w:numId w:val="6"/>
        </w:numPr>
        <w:ind w:left="357" w:hanging="357"/>
      </w:pPr>
      <w:r w:rsidRPr="002C320E">
        <w:t xml:space="preserve">current employees and </w:t>
      </w:r>
      <w:proofErr w:type="gramStart"/>
      <w:r>
        <w:t>Principal</w:t>
      </w:r>
      <w:r w:rsidRPr="002C320E">
        <w:t>;</w:t>
      </w:r>
      <w:proofErr w:type="gramEnd"/>
    </w:p>
    <w:p w14:paraId="07602D1F" w14:textId="77777777" w:rsidR="00DE6577" w:rsidRPr="002C320E" w:rsidRDefault="00DE6577" w:rsidP="00CE5FA8">
      <w:pPr>
        <w:numPr>
          <w:ilvl w:val="0"/>
          <w:numId w:val="6"/>
        </w:numPr>
        <w:ind w:left="357" w:hanging="357"/>
      </w:pPr>
      <w:r w:rsidRPr="002C320E">
        <w:t xml:space="preserve">former employees and </w:t>
      </w:r>
      <w:r>
        <w:t>Principal</w:t>
      </w:r>
      <w:r w:rsidRPr="002C320E">
        <w:t>s; and</w:t>
      </w:r>
    </w:p>
    <w:p w14:paraId="646778A1" w14:textId="212AABAD" w:rsidR="00DE6577" w:rsidRPr="002C320E" w:rsidRDefault="00DE6577" w:rsidP="00DE6577">
      <w:pPr>
        <w:numPr>
          <w:ilvl w:val="0"/>
          <w:numId w:val="6"/>
        </w:numPr>
        <w:ind w:left="357" w:hanging="357"/>
      </w:pPr>
      <w:r w:rsidRPr="002C320E">
        <w:t>contractors supplying services to BLENNZ.</w:t>
      </w:r>
    </w:p>
    <w:p w14:paraId="708BA462" w14:textId="77777777" w:rsidR="00DE6577" w:rsidRPr="002C320E" w:rsidRDefault="00DE6577" w:rsidP="00DE6577">
      <w:pPr>
        <w:pStyle w:val="Heading2"/>
      </w:pPr>
      <w:r w:rsidRPr="002C320E">
        <w:t>Protection of employees making disclosures</w:t>
      </w:r>
    </w:p>
    <w:p w14:paraId="382E3305" w14:textId="77777777" w:rsidR="00DE6577" w:rsidRPr="002C320E" w:rsidRDefault="00DE6577" w:rsidP="00DE6577">
      <w:r w:rsidRPr="002C320E">
        <w:t>An employee who makes a disclosure and who has acted in accordance with the procedure outlined in this policy:</w:t>
      </w:r>
    </w:p>
    <w:p w14:paraId="5F68248D" w14:textId="77777777" w:rsidR="00DE6577" w:rsidRPr="002C320E" w:rsidRDefault="00DE6577" w:rsidP="00CE5FA8">
      <w:pPr>
        <w:numPr>
          <w:ilvl w:val="0"/>
          <w:numId w:val="7"/>
        </w:numPr>
        <w:ind w:left="357" w:hanging="357"/>
      </w:pPr>
      <w:r w:rsidRPr="002C320E">
        <w:t xml:space="preserve">may bring a personal grievance in respect of retaliatory action from their </w:t>
      </w:r>
      <w:proofErr w:type="gramStart"/>
      <w:r w:rsidRPr="002C320E">
        <w:t>employers;</w:t>
      </w:r>
      <w:proofErr w:type="gramEnd"/>
    </w:p>
    <w:p w14:paraId="394F17FB" w14:textId="77777777" w:rsidR="00DE6577" w:rsidRPr="002C320E" w:rsidRDefault="00DE6577" w:rsidP="00CE5FA8">
      <w:pPr>
        <w:numPr>
          <w:ilvl w:val="0"/>
          <w:numId w:val="7"/>
        </w:numPr>
        <w:ind w:left="357" w:hanging="357"/>
      </w:pPr>
      <w:r w:rsidRPr="002C320E">
        <w:t xml:space="preserve">may access the anti-discrimination provisions of the Human Rights Act in respect of retaliatory action from their </w:t>
      </w:r>
      <w:proofErr w:type="gramStart"/>
      <w:r w:rsidRPr="002C320E">
        <w:t>employers;</w:t>
      </w:r>
      <w:proofErr w:type="gramEnd"/>
    </w:p>
    <w:p w14:paraId="2A57BB19" w14:textId="77777777" w:rsidR="00DE6577" w:rsidRPr="002C320E" w:rsidRDefault="00DE6577" w:rsidP="00CE5FA8">
      <w:pPr>
        <w:numPr>
          <w:ilvl w:val="0"/>
          <w:numId w:val="7"/>
        </w:numPr>
        <w:ind w:left="357" w:hanging="357"/>
      </w:pPr>
      <w:r w:rsidRPr="002C320E">
        <w:t>are not liable for any civil or criminal proceedings, or to a disciplinary hearing by reason of having made or referred to a disclosure; and</w:t>
      </w:r>
    </w:p>
    <w:p w14:paraId="02B1696E" w14:textId="77777777" w:rsidR="00DE6577" w:rsidRPr="002C320E" w:rsidRDefault="00DE6577" w:rsidP="00CE5FA8">
      <w:pPr>
        <w:numPr>
          <w:ilvl w:val="0"/>
          <w:numId w:val="7"/>
        </w:numPr>
        <w:ind w:left="357" w:hanging="357"/>
      </w:pPr>
      <w:r w:rsidRPr="002C320E">
        <w:t>will, subject to Clause 5 of the Procedure, have their disclosure treated with the utmost confidentiality.</w:t>
      </w:r>
    </w:p>
    <w:p w14:paraId="37B327AD" w14:textId="0857A7D7" w:rsidR="00DE6577" w:rsidRPr="002C320E" w:rsidRDefault="00DE6577" w:rsidP="00DE6577">
      <w:r w:rsidRPr="002C320E">
        <w:t>The protections provided in this section will not be available to employees making allegations they know to be false or where they have acted in bad faith.</w:t>
      </w:r>
    </w:p>
    <w:p w14:paraId="6F05D7C2" w14:textId="77777777" w:rsidR="00DE6577" w:rsidRPr="002C320E" w:rsidRDefault="00DE6577" w:rsidP="00DE6577">
      <w:pPr>
        <w:pStyle w:val="Heading2"/>
      </w:pPr>
      <w:r w:rsidRPr="002C320E">
        <w:t>Procedure</w:t>
      </w:r>
    </w:p>
    <w:p w14:paraId="4E332B5B" w14:textId="77777777" w:rsidR="00DE6577" w:rsidRPr="002C320E" w:rsidRDefault="00DE6577" w:rsidP="00DE6577">
      <w:r w:rsidRPr="002C320E">
        <w:t>Any employee of Blind &amp; Low Vision Education Network NZ who wishes to make a protected disclosure should do so using the following procedure.</w:t>
      </w:r>
    </w:p>
    <w:p w14:paraId="1C1321E5" w14:textId="77777777" w:rsidR="00DE6577" w:rsidRPr="002C320E" w:rsidRDefault="00DE6577" w:rsidP="00DE6577">
      <w:pPr>
        <w:ind w:left="720" w:hanging="720"/>
      </w:pPr>
      <w:r w:rsidRPr="002C320E">
        <w:t>The employee should submit the disclosure in writing.</w:t>
      </w:r>
    </w:p>
    <w:p w14:paraId="25080DE2" w14:textId="77777777" w:rsidR="00DE6577" w:rsidRPr="002C320E" w:rsidRDefault="00DE6577" w:rsidP="00DE6577">
      <w:pPr>
        <w:ind w:left="720" w:hanging="720"/>
      </w:pPr>
      <w:r w:rsidRPr="002C320E">
        <w:t>The disclosure should contain detailed information including the following:</w:t>
      </w:r>
    </w:p>
    <w:p w14:paraId="410959B7" w14:textId="77777777" w:rsidR="00DE6577" w:rsidRPr="002C320E" w:rsidRDefault="00DE6577" w:rsidP="00CE5FA8">
      <w:pPr>
        <w:numPr>
          <w:ilvl w:val="0"/>
          <w:numId w:val="8"/>
        </w:numPr>
        <w:ind w:left="357" w:hanging="357"/>
      </w:pPr>
      <w:r w:rsidRPr="002C320E">
        <w:t xml:space="preserve">the nature of the serious </w:t>
      </w:r>
      <w:proofErr w:type="gramStart"/>
      <w:r w:rsidRPr="002C320E">
        <w:t>wrong doing</w:t>
      </w:r>
      <w:proofErr w:type="gramEnd"/>
      <w:r w:rsidRPr="002C320E">
        <w:t>;</w:t>
      </w:r>
    </w:p>
    <w:p w14:paraId="1EC38751" w14:textId="77777777" w:rsidR="00DE6577" w:rsidRPr="002C320E" w:rsidRDefault="00DE6577" w:rsidP="00CE5FA8">
      <w:pPr>
        <w:numPr>
          <w:ilvl w:val="0"/>
          <w:numId w:val="8"/>
        </w:numPr>
        <w:ind w:left="357" w:hanging="357"/>
      </w:pPr>
      <w:r w:rsidRPr="002C320E">
        <w:t>the name or names of the people involved; and</w:t>
      </w:r>
    </w:p>
    <w:p w14:paraId="5FD29973" w14:textId="4923D86A" w:rsidR="00DE6577" w:rsidRDefault="00DE6577" w:rsidP="00CE5FA8">
      <w:pPr>
        <w:numPr>
          <w:ilvl w:val="0"/>
          <w:numId w:val="8"/>
        </w:numPr>
        <w:ind w:left="357" w:hanging="357"/>
      </w:pPr>
      <w:r w:rsidRPr="002C320E">
        <w:t xml:space="preserve">surrounding facts including details relating to the time and/or place of the </w:t>
      </w:r>
      <w:proofErr w:type="gramStart"/>
      <w:r w:rsidRPr="002C320E">
        <w:t>wrong doing</w:t>
      </w:r>
      <w:proofErr w:type="gramEnd"/>
      <w:r w:rsidRPr="002C320E">
        <w:t xml:space="preserve"> if known or relevant.</w:t>
      </w:r>
    </w:p>
    <w:p w14:paraId="2D55AE11" w14:textId="77777777" w:rsidR="00DE6577" w:rsidRPr="002C320E" w:rsidRDefault="00DE6577" w:rsidP="00DE6577">
      <w:r w:rsidRPr="002C320E">
        <w:lastRenderedPageBreak/>
        <w:t xml:space="preserve">A disclosure must be sent in writing to the </w:t>
      </w:r>
      <w:proofErr w:type="gramStart"/>
      <w:r>
        <w:t>Principal</w:t>
      </w:r>
      <w:proofErr w:type="gramEnd"/>
      <w:r w:rsidRPr="002C320E">
        <w:t xml:space="preserve"> who has been nominated by the Board of Trustees of Blind &amp; Low Vision Education Network NZ under the provision of Section 11 of the Protected Disclosures Act 2000 for this purpose.</w:t>
      </w:r>
    </w:p>
    <w:p w14:paraId="4B037B1F" w14:textId="77777777" w:rsidR="00DE6577" w:rsidRPr="002C320E" w:rsidRDefault="00DE6577" w:rsidP="00DE6577">
      <w:r w:rsidRPr="002C320E">
        <w:t>OR</w:t>
      </w:r>
    </w:p>
    <w:p w14:paraId="46156A03" w14:textId="2337F074" w:rsidR="00DE6577" w:rsidRPr="002C320E" w:rsidRDefault="00DE6577" w:rsidP="00DE6577">
      <w:r w:rsidRPr="002C320E">
        <w:t xml:space="preserve">If you believe that the </w:t>
      </w:r>
      <w:proofErr w:type="gramStart"/>
      <w:r>
        <w:t>Principal</w:t>
      </w:r>
      <w:proofErr w:type="gramEnd"/>
      <w:r w:rsidRPr="002C320E">
        <w:t xml:space="preserve"> is involved in the wrong-doing or has an association with the person committing the wrongdoing that would make it inappropriate to disclose to them, then you can make the disclosure to the </w:t>
      </w:r>
      <w:r>
        <w:t>Chair</w:t>
      </w:r>
      <w:r w:rsidRPr="002C320E">
        <w:t>person of the BLENNZ Board of Trustees.</w:t>
      </w:r>
    </w:p>
    <w:p w14:paraId="3E90DEAA" w14:textId="77777777" w:rsidR="00DE6577" w:rsidRPr="002C320E" w:rsidRDefault="00DE6577" w:rsidP="00DE6577">
      <w:r w:rsidRPr="002C320E">
        <w:t xml:space="preserve">On receipt of a disclosure, the </w:t>
      </w:r>
      <w:r>
        <w:t>Principal</w:t>
      </w:r>
      <w:r w:rsidRPr="002C320E">
        <w:t xml:space="preserve"> or </w:t>
      </w:r>
      <w:r>
        <w:t>Chair</w:t>
      </w:r>
      <w:r w:rsidRPr="002C320E">
        <w:t xml:space="preserve"> must within 20 working days examine seriously the allegations of wrongdoing made and decide whether a full investigation is warranted. If warranted a full investigation will be arranged by him/her as quickly as practically possible, through an appropriate authority.</w:t>
      </w:r>
    </w:p>
    <w:p w14:paraId="56BAF6F9" w14:textId="77777777" w:rsidR="00DE6577" w:rsidRPr="002C320E" w:rsidRDefault="00DE6577" w:rsidP="00DE6577">
      <w:r w:rsidRPr="002C320E">
        <w:t xml:space="preserve">All disclosures will be treated with the utmost confidence. When undertaking an investigation, and when writing the report, the </w:t>
      </w:r>
      <w:r>
        <w:t>Principal</w:t>
      </w:r>
      <w:r w:rsidRPr="002C320E">
        <w:t xml:space="preserve"> or </w:t>
      </w:r>
      <w:r>
        <w:t>Chair</w:t>
      </w:r>
      <w:r w:rsidRPr="002C320E">
        <w:t xml:space="preserve"> will make every endeavour possible not to reveal information that can identify the disclosing person, unless the person consents in writing or if the person receiving the protected disclosure reasonably believes that disclosure of identifying information is essential:</w:t>
      </w:r>
    </w:p>
    <w:p w14:paraId="5DA198C7" w14:textId="77777777" w:rsidR="00DE6577" w:rsidRPr="002C320E" w:rsidRDefault="00DE6577" w:rsidP="00CE5FA8">
      <w:pPr>
        <w:numPr>
          <w:ilvl w:val="0"/>
          <w:numId w:val="9"/>
        </w:numPr>
        <w:ind w:left="357" w:hanging="357"/>
      </w:pPr>
      <w:r w:rsidRPr="002C320E">
        <w:t>to ensure an effective investigation</w:t>
      </w:r>
    </w:p>
    <w:p w14:paraId="1B6F00D5" w14:textId="77777777" w:rsidR="00DE6577" w:rsidRPr="002C320E" w:rsidRDefault="00DE6577" w:rsidP="00CE5FA8">
      <w:pPr>
        <w:numPr>
          <w:ilvl w:val="0"/>
          <w:numId w:val="9"/>
        </w:numPr>
        <w:ind w:left="357" w:hanging="357"/>
      </w:pPr>
      <w:r w:rsidRPr="002C320E">
        <w:t>to prevent serious risk to public health or public safety or the environment</w:t>
      </w:r>
    </w:p>
    <w:p w14:paraId="190931B2" w14:textId="63AD72E7" w:rsidR="00DE6577" w:rsidRPr="002C320E" w:rsidRDefault="00DE6577" w:rsidP="00CE5FA8">
      <w:pPr>
        <w:numPr>
          <w:ilvl w:val="0"/>
          <w:numId w:val="9"/>
        </w:numPr>
        <w:ind w:left="357" w:hanging="357"/>
      </w:pPr>
      <w:r w:rsidRPr="002C320E">
        <w:t>to have regard to the principles of natural justice</w:t>
      </w:r>
    </w:p>
    <w:p w14:paraId="10C43DED" w14:textId="77777777" w:rsidR="00DE6577" w:rsidRPr="002C320E" w:rsidRDefault="00DE6577" w:rsidP="00DE6577">
      <w:pPr>
        <w:pStyle w:val="Heading2"/>
      </w:pPr>
      <w:r w:rsidRPr="002C320E">
        <w:t>Report of Investigation</w:t>
      </w:r>
    </w:p>
    <w:p w14:paraId="538872C8" w14:textId="77777777" w:rsidR="00DE6577" w:rsidRPr="002C320E" w:rsidRDefault="00DE6577" w:rsidP="00DE6577">
      <w:r w:rsidRPr="002C320E">
        <w:t xml:space="preserve">At the conclusion of the investigation the </w:t>
      </w:r>
      <w:r>
        <w:t>Principal</w:t>
      </w:r>
      <w:r w:rsidRPr="002C320E">
        <w:t xml:space="preserve"> or </w:t>
      </w:r>
      <w:r>
        <w:t>Chair</w:t>
      </w:r>
      <w:r w:rsidRPr="002C320E">
        <w:t xml:space="preserve"> will prepare a report of the investigation with recommendations for action if appropriate, which will be sent to the </w:t>
      </w:r>
      <w:r>
        <w:t>Chair</w:t>
      </w:r>
      <w:r w:rsidRPr="002C320E">
        <w:t>person, Board of Trustees, Blind &amp; Low Vision Education Network NZ for consideration by the appropriate Board committee if the matter lies within their authority.</w:t>
      </w:r>
    </w:p>
    <w:p w14:paraId="34A839A6" w14:textId="77777777" w:rsidR="00DE6577" w:rsidRPr="002C320E" w:rsidRDefault="00DE6577" w:rsidP="00DE6577">
      <w:pPr>
        <w:pStyle w:val="Heading2"/>
      </w:pPr>
      <w:r w:rsidRPr="002C320E">
        <w:t>Disclosure to an Appropriate Authority in Certain Circumstances</w:t>
      </w:r>
    </w:p>
    <w:p w14:paraId="34B86AB9" w14:textId="77777777" w:rsidR="00DE6577" w:rsidRPr="002C320E" w:rsidRDefault="00DE6577" w:rsidP="00DE6577">
      <w:r w:rsidRPr="002C320E">
        <w:t>A disclosure may be made to an appropriate authority (including those listed below) if the employee making the disclosure has reasonable grounds to believe:</w:t>
      </w:r>
    </w:p>
    <w:p w14:paraId="21E317BF" w14:textId="77777777" w:rsidR="00DE6577" w:rsidRPr="002C320E" w:rsidRDefault="00DE6577" w:rsidP="00E41BBB">
      <w:pPr>
        <w:numPr>
          <w:ilvl w:val="0"/>
          <w:numId w:val="10"/>
        </w:numPr>
        <w:ind w:left="357" w:hanging="357"/>
      </w:pPr>
      <w:r w:rsidRPr="002C320E">
        <w:t xml:space="preserve">The </w:t>
      </w:r>
      <w:r>
        <w:t>Chair</w:t>
      </w:r>
      <w:r w:rsidRPr="002C320E">
        <w:t>person of the BLENNZ BOT is or may be involved in the wrongdoing; or</w:t>
      </w:r>
    </w:p>
    <w:p w14:paraId="2012BA61" w14:textId="77777777" w:rsidR="00DE6577" w:rsidRPr="002C320E" w:rsidRDefault="00DE6577" w:rsidP="00E41BBB">
      <w:pPr>
        <w:numPr>
          <w:ilvl w:val="0"/>
          <w:numId w:val="10"/>
        </w:numPr>
        <w:ind w:left="357" w:hanging="357"/>
      </w:pPr>
      <w:r w:rsidRPr="002C320E">
        <w:t>immediate reference to another authority is justified by urgency or exceptional circumstances; or</w:t>
      </w:r>
    </w:p>
    <w:p w14:paraId="47AD4C22" w14:textId="46A4D768" w:rsidR="00DE6577" w:rsidRPr="002C320E" w:rsidRDefault="00DE6577" w:rsidP="00E41BBB">
      <w:pPr>
        <w:numPr>
          <w:ilvl w:val="0"/>
          <w:numId w:val="10"/>
        </w:numPr>
        <w:ind w:left="357" w:hanging="357"/>
      </w:pPr>
      <w:r w:rsidRPr="002C320E">
        <w:t>there has been no action or recommended action within 20 working days of the date of disclosure.</w:t>
      </w:r>
    </w:p>
    <w:p w14:paraId="5E4E9AC7" w14:textId="77777777" w:rsidR="00DE6577" w:rsidRPr="002C320E" w:rsidRDefault="00DE6577" w:rsidP="00DE6577">
      <w:r w:rsidRPr="002C320E">
        <w:lastRenderedPageBreak/>
        <w:t>Appropriate Authorities include (but are not limited to)</w:t>
      </w:r>
    </w:p>
    <w:p w14:paraId="0894A9C0" w14:textId="77777777" w:rsidR="00DE6577" w:rsidRPr="002C320E" w:rsidRDefault="00DE6577" w:rsidP="00E41BBB">
      <w:pPr>
        <w:numPr>
          <w:ilvl w:val="0"/>
          <w:numId w:val="11"/>
        </w:numPr>
        <w:ind w:left="357" w:hanging="357"/>
      </w:pPr>
      <w:r w:rsidRPr="002C320E">
        <w:t>Commissioner of Police</w:t>
      </w:r>
    </w:p>
    <w:p w14:paraId="4A40DBFA" w14:textId="77777777" w:rsidR="00DE6577" w:rsidRPr="002C320E" w:rsidRDefault="00DE6577" w:rsidP="00E41BBB">
      <w:pPr>
        <w:numPr>
          <w:ilvl w:val="0"/>
          <w:numId w:val="11"/>
        </w:numPr>
        <w:ind w:left="357" w:hanging="357"/>
      </w:pPr>
      <w:r w:rsidRPr="002C320E">
        <w:t>Controller and Auditor General</w:t>
      </w:r>
    </w:p>
    <w:p w14:paraId="3543EC9F" w14:textId="77777777" w:rsidR="00DE6577" w:rsidRPr="002C320E" w:rsidRDefault="00DE6577" w:rsidP="00E41BBB">
      <w:pPr>
        <w:numPr>
          <w:ilvl w:val="0"/>
          <w:numId w:val="11"/>
        </w:numPr>
        <w:ind w:left="357" w:hanging="357"/>
      </w:pPr>
      <w:r w:rsidRPr="002C320E">
        <w:t>Director of the Serious Fraud Office</w:t>
      </w:r>
    </w:p>
    <w:p w14:paraId="09D971B2" w14:textId="77777777" w:rsidR="00DE6577" w:rsidRPr="002C320E" w:rsidRDefault="00DE6577" w:rsidP="00E41BBB">
      <w:pPr>
        <w:numPr>
          <w:ilvl w:val="0"/>
          <w:numId w:val="11"/>
        </w:numPr>
        <w:ind w:left="357" w:hanging="357"/>
      </w:pPr>
      <w:r w:rsidRPr="002C320E">
        <w:t>Inspector General of Intelligence and Security</w:t>
      </w:r>
    </w:p>
    <w:p w14:paraId="75EB7CA6" w14:textId="77777777" w:rsidR="00DE6577" w:rsidRPr="002C320E" w:rsidRDefault="00DE6577" w:rsidP="00E41BBB">
      <w:pPr>
        <w:numPr>
          <w:ilvl w:val="0"/>
          <w:numId w:val="11"/>
        </w:numPr>
        <w:ind w:left="357" w:hanging="357"/>
      </w:pPr>
      <w:r w:rsidRPr="002C320E">
        <w:t>Ombudsman</w:t>
      </w:r>
    </w:p>
    <w:p w14:paraId="6619D4FA" w14:textId="77777777" w:rsidR="00DE6577" w:rsidRPr="002C320E" w:rsidRDefault="00DE6577" w:rsidP="00E41BBB">
      <w:pPr>
        <w:numPr>
          <w:ilvl w:val="0"/>
          <w:numId w:val="11"/>
        </w:numPr>
        <w:ind w:left="357" w:hanging="357"/>
      </w:pPr>
      <w:r w:rsidRPr="002C320E">
        <w:t>Parliamentary Commissioner for the Environment</w:t>
      </w:r>
    </w:p>
    <w:p w14:paraId="080C7196" w14:textId="77777777" w:rsidR="00DE6577" w:rsidRPr="002C320E" w:rsidRDefault="00DE6577" w:rsidP="00E41BBB">
      <w:pPr>
        <w:numPr>
          <w:ilvl w:val="0"/>
          <w:numId w:val="11"/>
        </w:numPr>
        <w:ind w:left="357" w:hanging="357"/>
      </w:pPr>
      <w:r w:rsidRPr="002C320E">
        <w:t>Police Complaints Authority</w:t>
      </w:r>
    </w:p>
    <w:p w14:paraId="606E3725" w14:textId="77777777" w:rsidR="00DE6577" w:rsidRPr="002C320E" w:rsidRDefault="00DE6577" w:rsidP="00E41BBB">
      <w:pPr>
        <w:numPr>
          <w:ilvl w:val="0"/>
          <w:numId w:val="11"/>
        </w:numPr>
        <w:ind w:left="357" w:hanging="357"/>
      </w:pPr>
      <w:r w:rsidRPr="002C320E">
        <w:t>Solicitor General</w:t>
      </w:r>
    </w:p>
    <w:p w14:paraId="7F46745C" w14:textId="77777777" w:rsidR="00DE6577" w:rsidRPr="002C320E" w:rsidRDefault="00DE6577" w:rsidP="00E41BBB">
      <w:pPr>
        <w:numPr>
          <w:ilvl w:val="0"/>
          <w:numId w:val="11"/>
        </w:numPr>
        <w:ind w:left="357" w:hanging="357"/>
      </w:pPr>
      <w:r w:rsidRPr="002C320E">
        <w:t>State Service Commissioner</w:t>
      </w:r>
    </w:p>
    <w:p w14:paraId="4CEAD92B" w14:textId="77777777" w:rsidR="00DE6577" w:rsidRPr="002C320E" w:rsidRDefault="00DE6577" w:rsidP="00E41BBB">
      <w:pPr>
        <w:numPr>
          <w:ilvl w:val="0"/>
          <w:numId w:val="11"/>
        </w:numPr>
        <w:ind w:left="357" w:hanging="357"/>
      </w:pPr>
      <w:r w:rsidRPr="002C320E">
        <w:t>Health and Disability Commissioner</w:t>
      </w:r>
    </w:p>
    <w:p w14:paraId="7D071316" w14:textId="764D94D4" w:rsidR="00DE6577" w:rsidRPr="00E41BBB" w:rsidRDefault="00DE6577" w:rsidP="00DE6577">
      <w:pPr>
        <w:numPr>
          <w:ilvl w:val="0"/>
          <w:numId w:val="11"/>
        </w:numPr>
        <w:ind w:left="357" w:hanging="357"/>
      </w:pPr>
      <w:r w:rsidRPr="002C320E">
        <w:t>The head of every public sector organisation.</w:t>
      </w:r>
    </w:p>
    <w:p w14:paraId="13742C27" w14:textId="77777777" w:rsidR="00DE6577" w:rsidRPr="002C320E" w:rsidRDefault="00DE6577" w:rsidP="00DE6577">
      <w:pPr>
        <w:pStyle w:val="Heading2"/>
      </w:pPr>
      <w:r w:rsidRPr="002C320E">
        <w:t>Disclosure to Ministers and Ombudsman</w:t>
      </w:r>
    </w:p>
    <w:p w14:paraId="6ACEA311" w14:textId="77777777" w:rsidR="00DE6577" w:rsidRDefault="00DE6577" w:rsidP="00DE6577">
      <w:r w:rsidRPr="002C320E">
        <w:t>A disclosure may be made to the Minister or an Ombudsman if the employee making the disclosure has made the same disclosure according to the internal procedures and clauses of this policy and reasonably believes that the person or authority to whom the disclosure was made:</w:t>
      </w:r>
    </w:p>
    <w:p w14:paraId="1452A748" w14:textId="77777777" w:rsidR="00DE6577" w:rsidRPr="002C320E" w:rsidRDefault="00DE6577" w:rsidP="00E41BBB">
      <w:pPr>
        <w:numPr>
          <w:ilvl w:val="0"/>
          <w:numId w:val="12"/>
        </w:numPr>
        <w:ind w:left="357" w:hanging="357"/>
      </w:pPr>
      <w:r w:rsidRPr="002C320E">
        <w:t>has decided not to investigate; or</w:t>
      </w:r>
    </w:p>
    <w:p w14:paraId="41E84268" w14:textId="77777777" w:rsidR="00DE6577" w:rsidRPr="002C320E" w:rsidRDefault="00DE6577" w:rsidP="00E41BBB">
      <w:pPr>
        <w:numPr>
          <w:ilvl w:val="0"/>
          <w:numId w:val="12"/>
        </w:numPr>
        <w:ind w:left="357" w:hanging="357"/>
      </w:pPr>
      <w:r w:rsidRPr="002C320E">
        <w:t xml:space="preserve">has decided to investigate but not made progress with the investigation within reasonable time; or </w:t>
      </w:r>
    </w:p>
    <w:p w14:paraId="0648740A" w14:textId="77777777" w:rsidR="00DE6577" w:rsidRPr="002C320E" w:rsidRDefault="00DE6577" w:rsidP="00E41BBB">
      <w:pPr>
        <w:numPr>
          <w:ilvl w:val="0"/>
          <w:numId w:val="12"/>
        </w:numPr>
        <w:ind w:left="357" w:hanging="357"/>
      </w:pPr>
      <w:r w:rsidRPr="002C320E">
        <w:t>has investigated but has not taken or recommended any action; and</w:t>
      </w:r>
    </w:p>
    <w:p w14:paraId="03865C85" w14:textId="3660AFC3" w:rsidR="00F065AF" w:rsidRDefault="00DE6577" w:rsidP="00E41BBB">
      <w:pPr>
        <w:numPr>
          <w:ilvl w:val="0"/>
          <w:numId w:val="12"/>
        </w:numPr>
        <w:ind w:left="357" w:hanging="357"/>
      </w:pPr>
      <w:r w:rsidRPr="002C320E">
        <w:t>continues to believe on reasonable grounds that the information disclosed is true or is likely to be true.</w:t>
      </w:r>
    </w:p>
    <w:p w14:paraId="54980FE4" w14:textId="77777777" w:rsidR="00F065AF" w:rsidRDefault="00F065AF" w:rsidP="00F065AF">
      <w:pPr>
        <w:pStyle w:val="Heading2"/>
      </w:pPr>
      <w:r>
        <w:t>Supporting Documents:</w:t>
      </w:r>
    </w:p>
    <w:p w14:paraId="68A672CB" w14:textId="77777777" w:rsidR="00F065AF" w:rsidRDefault="00F065AF" w:rsidP="00F065AF">
      <w:hyperlink r:id="rId10" w:history="1">
        <w:r w:rsidRPr="00F065AF">
          <w:rPr>
            <w:rStyle w:val="Hyperlink"/>
          </w:rPr>
          <w:t>Protected Disclosures Act 2000</w:t>
        </w:r>
      </w:hyperlink>
    </w:p>
    <w:p w14:paraId="548ED533" w14:textId="77777777" w:rsidR="00F065AF" w:rsidRDefault="00F065AF" w:rsidP="00F065AF">
      <w:hyperlink r:id="rId11" w:history="1">
        <w:r w:rsidRPr="00F065AF">
          <w:rPr>
            <w:rStyle w:val="Hyperlink"/>
          </w:rPr>
          <w:t>Human Rights Act 1993</w:t>
        </w:r>
      </w:hyperlink>
    </w:p>
    <w:p w14:paraId="5E9D5565" w14:textId="7D0AC2BB" w:rsidR="001E7DD5" w:rsidRPr="00F065AF" w:rsidRDefault="00931F62" w:rsidP="00F065AF">
      <w:r>
        <w:t>Approved:</w:t>
      </w:r>
      <w:r w:rsidR="00E0334F">
        <w:tab/>
      </w:r>
      <w:r w:rsidR="005B2AF0">
        <w:rPr>
          <w:noProof/>
        </w:rPr>
        <w:drawing>
          <wp:inline distT="0" distB="0" distL="0" distR="0" wp14:anchorId="61595832" wp14:editId="3B9965CF">
            <wp:extent cx="1504950" cy="833120"/>
            <wp:effectExtent l="0" t="0" r="0" b="508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833120"/>
                    </a:xfrm>
                    <a:prstGeom prst="rect">
                      <a:avLst/>
                    </a:prstGeom>
                    <a:noFill/>
                    <a:ln>
                      <a:noFill/>
                    </a:ln>
                  </pic:spPr>
                </pic:pic>
              </a:graphicData>
            </a:graphic>
          </wp:inline>
        </w:drawing>
      </w:r>
      <w:r w:rsidR="00365381">
        <w:br/>
      </w:r>
      <w:r>
        <w:t>Date:</w:t>
      </w:r>
      <w:r w:rsidR="00E0334F">
        <w:tab/>
      </w:r>
      <w:r w:rsidR="005B2AF0">
        <w:t>12 November 2024</w:t>
      </w:r>
      <w:r w:rsidR="00E0334F">
        <w:tab/>
      </w:r>
      <w:r w:rsidR="00365381">
        <w:br/>
      </w:r>
      <w:r w:rsidR="001E7DD5">
        <w:t>Next Review:</w:t>
      </w:r>
      <w:r w:rsidR="00DD0F34">
        <w:t xml:space="preserve"> 202</w:t>
      </w:r>
      <w:r w:rsidR="000A5A72">
        <w:t>7</w:t>
      </w:r>
    </w:p>
    <w:sectPr w:rsidR="001E7DD5" w:rsidRPr="00F065AF" w:rsidSect="00E41BBB">
      <w:footerReference w:type="default" r:id="rId13"/>
      <w:pgSz w:w="11906" w:h="16838"/>
      <w:pgMar w:top="851" w:right="1134" w:bottom="1134" w:left="1134" w:header="709" w:footer="9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05D9E" w14:textId="77777777" w:rsidR="00210E0B" w:rsidRDefault="00210E0B" w:rsidP="00F065AF">
      <w:pPr>
        <w:spacing w:after="0" w:line="240" w:lineRule="auto"/>
      </w:pPr>
      <w:r>
        <w:separator/>
      </w:r>
    </w:p>
  </w:endnote>
  <w:endnote w:type="continuationSeparator" w:id="0">
    <w:p w14:paraId="28E4CDDA" w14:textId="77777777" w:rsidR="00210E0B" w:rsidRDefault="00210E0B" w:rsidP="00F065AF">
      <w:pPr>
        <w:spacing w:after="0" w:line="240" w:lineRule="auto"/>
      </w:pPr>
      <w:r>
        <w:continuationSeparator/>
      </w:r>
    </w:p>
  </w:endnote>
  <w:endnote w:type="continuationNotice" w:id="1">
    <w:p w14:paraId="344E0839" w14:textId="77777777" w:rsidR="00210E0B" w:rsidRDefault="00210E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2725F" w14:textId="2220F8CB" w:rsidR="00F065AF" w:rsidRDefault="001E7DD5" w:rsidP="00197673">
    <w:pPr>
      <w:pStyle w:val="Footer"/>
      <w:spacing w:before="0" w:beforeAutospacing="0" w:afterAutospacing="0"/>
      <w:rPr>
        <w:b/>
        <w:bCs/>
      </w:rPr>
    </w:pPr>
    <w:r>
      <w:t>OP6-10 202</w:t>
    </w:r>
    <w:r w:rsidR="000A5A72">
      <w:t>4</w:t>
    </w:r>
    <w:r>
      <w:t xml:space="preserve"> Protected Disclosures Policy</w:t>
    </w:r>
    <w:r w:rsidR="00F065AF">
      <w:tab/>
      <w:t xml:space="preserve">Page </w:t>
    </w:r>
    <w:r w:rsidR="00F065AF">
      <w:rPr>
        <w:b/>
        <w:bCs/>
      </w:rPr>
      <w:fldChar w:fldCharType="begin"/>
    </w:r>
    <w:r w:rsidR="00F065AF">
      <w:rPr>
        <w:b/>
        <w:bCs/>
      </w:rPr>
      <w:instrText xml:space="preserve"> PAGE  \* Arabic  \* MERGEFORMAT </w:instrText>
    </w:r>
    <w:r w:rsidR="00F065AF">
      <w:rPr>
        <w:b/>
        <w:bCs/>
      </w:rPr>
      <w:fldChar w:fldCharType="separate"/>
    </w:r>
    <w:r w:rsidR="00E0334F">
      <w:rPr>
        <w:b/>
        <w:bCs/>
        <w:noProof/>
      </w:rPr>
      <w:t>4</w:t>
    </w:r>
    <w:r w:rsidR="00F065AF">
      <w:rPr>
        <w:b/>
        <w:bCs/>
      </w:rPr>
      <w:fldChar w:fldCharType="end"/>
    </w:r>
    <w:r w:rsidR="00F065AF">
      <w:t xml:space="preserve"> of </w:t>
    </w:r>
    <w:r w:rsidR="00F065AF">
      <w:rPr>
        <w:b/>
        <w:bCs/>
      </w:rPr>
      <w:fldChar w:fldCharType="begin"/>
    </w:r>
    <w:r w:rsidR="00F065AF">
      <w:rPr>
        <w:b/>
        <w:bCs/>
      </w:rPr>
      <w:instrText xml:space="preserve"> NUMPAGES  \* Arabic  \* MERGEFORMAT </w:instrText>
    </w:r>
    <w:r w:rsidR="00F065AF">
      <w:rPr>
        <w:b/>
        <w:bCs/>
      </w:rPr>
      <w:fldChar w:fldCharType="separate"/>
    </w:r>
    <w:r w:rsidR="00E0334F">
      <w:rPr>
        <w:b/>
        <w:bCs/>
        <w:noProof/>
      </w:rPr>
      <w:t>4</w:t>
    </w:r>
    <w:r w:rsidR="00F065AF">
      <w:rPr>
        <w:b/>
        <w:bCs/>
      </w:rPr>
      <w:fldChar w:fldCharType="end"/>
    </w:r>
  </w:p>
  <w:p w14:paraId="58FF3A14" w14:textId="79B03565" w:rsidR="00F065AF" w:rsidRDefault="004E3259" w:rsidP="00CE5FA8">
    <w:pPr>
      <w:pStyle w:val="Footer"/>
      <w:spacing w:before="0" w:beforeAutospacing="0" w:afterAutospacing="0"/>
    </w:pPr>
    <w:r>
      <w:rPr>
        <w:bCs/>
      </w:rP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3C670" w14:textId="77777777" w:rsidR="00210E0B" w:rsidRDefault="00210E0B" w:rsidP="00F065AF">
      <w:pPr>
        <w:spacing w:after="0" w:line="240" w:lineRule="auto"/>
      </w:pPr>
      <w:r>
        <w:separator/>
      </w:r>
    </w:p>
  </w:footnote>
  <w:footnote w:type="continuationSeparator" w:id="0">
    <w:p w14:paraId="219F6710" w14:textId="77777777" w:rsidR="00210E0B" w:rsidRDefault="00210E0B" w:rsidP="00F065AF">
      <w:pPr>
        <w:spacing w:after="0" w:line="240" w:lineRule="auto"/>
      </w:pPr>
      <w:r>
        <w:continuationSeparator/>
      </w:r>
    </w:p>
  </w:footnote>
  <w:footnote w:type="continuationNotice" w:id="1">
    <w:p w14:paraId="1EDB35C2" w14:textId="77777777" w:rsidR="00210E0B" w:rsidRDefault="00210E0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E192700"/>
    <w:multiLevelType w:val="hybridMultilevel"/>
    <w:tmpl w:val="D988B11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4F735F6"/>
    <w:multiLevelType w:val="hybridMultilevel"/>
    <w:tmpl w:val="A446B1C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5A8394D"/>
    <w:multiLevelType w:val="hybridMultilevel"/>
    <w:tmpl w:val="00D2EDA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98A1060"/>
    <w:multiLevelType w:val="hybridMultilevel"/>
    <w:tmpl w:val="C8E8202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A9A62CB"/>
    <w:multiLevelType w:val="hybridMultilevel"/>
    <w:tmpl w:val="AA2262E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47B13A9"/>
    <w:multiLevelType w:val="hybridMultilevel"/>
    <w:tmpl w:val="F432E61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7A74410"/>
    <w:multiLevelType w:val="hybridMultilevel"/>
    <w:tmpl w:val="B9989ED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80D7CCA"/>
    <w:multiLevelType w:val="hybridMultilevel"/>
    <w:tmpl w:val="383A508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900039E"/>
    <w:multiLevelType w:val="hybridMultilevel"/>
    <w:tmpl w:val="C38C6EE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26339790">
    <w:abstractNumId w:val="1"/>
  </w:num>
  <w:num w:numId="2" w16cid:durableId="1637637853">
    <w:abstractNumId w:val="0"/>
  </w:num>
  <w:num w:numId="3" w16cid:durableId="1185245509">
    <w:abstractNumId w:val="7"/>
  </w:num>
  <w:num w:numId="4" w16cid:durableId="4383767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14135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84772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7393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8784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4566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05149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25441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29758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8A6"/>
    <w:rsid w:val="000417C5"/>
    <w:rsid w:val="00046AAC"/>
    <w:rsid w:val="000A5A72"/>
    <w:rsid w:val="000D2430"/>
    <w:rsid w:val="000F2B4A"/>
    <w:rsid w:val="00116C15"/>
    <w:rsid w:val="00197673"/>
    <w:rsid w:val="001E7DD5"/>
    <w:rsid w:val="00210E0B"/>
    <w:rsid w:val="00276E63"/>
    <w:rsid w:val="00365381"/>
    <w:rsid w:val="00400DED"/>
    <w:rsid w:val="0043298F"/>
    <w:rsid w:val="0048009E"/>
    <w:rsid w:val="004812ED"/>
    <w:rsid w:val="004C0AB4"/>
    <w:rsid w:val="004E3259"/>
    <w:rsid w:val="004E4246"/>
    <w:rsid w:val="00512F65"/>
    <w:rsid w:val="00543E88"/>
    <w:rsid w:val="005A595B"/>
    <w:rsid w:val="005B2AF0"/>
    <w:rsid w:val="005C5FE0"/>
    <w:rsid w:val="005F785D"/>
    <w:rsid w:val="00670E60"/>
    <w:rsid w:val="006C0DF0"/>
    <w:rsid w:val="006E173D"/>
    <w:rsid w:val="00784E1A"/>
    <w:rsid w:val="00787F85"/>
    <w:rsid w:val="007978A6"/>
    <w:rsid w:val="007C7D5B"/>
    <w:rsid w:val="008B3538"/>
    <w:rsid w:val="00913000"/>
    <w:rsid w:val="00931F62"/>
    <w:rsid w:val="00952FAB"/>
    <w:rsid w:val="009C7A78"/>
    <w:rsid w:val="009F696F"/>
    <w:rsid w:val="00A16DC7"/>
    <w:rsid w:val="00AC1C49"/>
    <w:rsid w:val="00BA581E"/>
    <w:rsid w:val="00BF6FA2"/>
    <w:rsid w:val="00C74BAC"/>
    <w:rsid w:val="00C86E01"/>
    <w:rsid w:val="00CB040C"/>
    <w:rsid w:val="00CE5FA8"/>
    <w:rsid w:val="00D05EF6"/>
    <w:rsid w:val="00D26B8D"/>
    <w:rsid w:val="00DA1CAD"/>
    <w:rsid w:val="00DD0F34"/>
    <w:rsid w:val="00DE6577"/>
    <w:rsid w:val="00E0334F"/>
    <w:rsid w:val="00E41BBB"/>
    <w:rsid w:val="00EF28A8"/>
    <w:rsid w:val="00F065AF"/>
    <w:rsid w:val="00F1592D"/>
    <w:rsid w:val="00F91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89F4"/>
  <w15:docId w15:val="{C8BDDBD8-8223-41C1-9F5A-7854BCB5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673"/>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F06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5AF"/>
    <w:rPr>
      <w:rFonts w:ascii="Arial" w:hAnsi="Arial"/>
      <w:sz w:val="24"/>
    </w:rPr>
  </w:style>
  <w:style w:type="paragraph" w:styleId="Footer">
    <w:name w:val="footer"/>
    <w:basedOn w:val="Normal"/>
    <w:link w:val="FooterChar"/>
    <w:uiPriority w:val="99"/>
    <w:unhideWhenUsed/>
    <w:rsid w:val="00F06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5AF"/>
    <w:rPr>
      <w:rFonts w:ascii="Arial" w:hAnsi="Arial"/>
      <w:sz w:val="24"/>
    </w:rPr>
  </w:style>
  <w:style w:type="character" w:styleId="FollowedHyperlink">
    <w:name w:val="FollowedHyperlink"/>
    <w:basedOn w:val="DefaultParagraphFont"/>
    <w:uiPriority w:val="99"/>
    <w:semiHidden/>
    <w:unhideWhenUsed/>
    <w:rsid w:val="001E7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1993/0082/latest/DLM304212.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islation.govt.nz/act/public/2000/0007/latest/DLM53466.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57876-49E2-4BE1-93E5-58FE8F922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9E32D-616E-4596-AF60-7C50B63CE5CE}">
  <ds:schemaRefs>
    <ds:schemaRef ds:uri="http://purl.org/dc/elements/1.1/"/>
    <ds:schemaRef ds:uri="806377ac-65e5-4de6-a576-ed9bbd38d598"/>
    <ds:schemaRef ds:uri="http://schemas.microsoft.com/office/2006/documentManagement/types"/>
    <ds:schemaRef ds:uri="http://www.w3.org/XML/1998/namespace"/>
    <ds:schemaRef ds:uri="http://purl.org/dc/dcmitype/"/>
    <ds:schemaRef ds:uri="ba88ec04-25a7-4cd5-abd9-12b8e17c889a"/>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Bridget Lamphee</cp:lastModifiedBy>
  <cp:revision>2</cp:revision>
  <cp:lastPrinted>2024-10-29T21:17:00Z</cp:lastPrinted>
  <dcterms:created xsi:type="dcterms:W3CDTF">2024-11-19T21:26:00Z</dcterms:created>
  <dcterms:modified xsi:type="dcterms:W3CDTF">2024-11-19T21:26:00Z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