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18716" w14:textId="22B69C20" w:rsidR="006824CE" w:rsidRPr="006824CE" w:rsidRDefault="006824CE" w:rsidP="00B32C9E">
      <w:pPr>
        <w:pStyle w:val="Heading1"/>
        <w:rPr>
          <w:rFonts w:eastAsia="Times New Roman"/>
        </w:rPr>
      </w:pPr>
      <w:r w:rsidRPr="006824CE">
        <w:rPr>
          <w:rFonts w:eastAsia="Times New Roman"/>
        </w:rPr>
        <w:t xml:space="preserve">Operational Policy: </w:t>
      </w:r>
      <w:proofErr w:type="spellStart"/>
      <w:r w:rsidRPr="006824CE">
        <w:rPr>
          <w:rFonts w:eastAsia="Times New Roman"/>
        </w:rPr>
        <w:t>Te</w:t>
      </w:r>
      <w:proofErr w:type="spellEnd"/>
      <w:r w:rsidRPr="006824CE">
        <w:rPr>
          <w:rFonts w:eastAsia="Times New Roman"/>
        </w:rPr>
        <w:t xml:space="preserve"> </w:t>
      </w:r>
      <w:proofErr w:type="spellStart"/>
      <w:r w:rsidRPr="006824CE">
        <w:rPr>
          <w:rFonts w:eastAsia="Times New Roman"/>
        </w:rPr>
        <w:t>Tiriti</w:t>
      </w:r>
      <w:proofErr w:type="spellEnd"/>
      <w:r w:rsidRPr="006824CE">
        <w:rPr>
          <w:rFonts w:eastAsia="Times New Roman"/>
        </w:rPr>
        <w:t xml:space="preserve"> </w:t>
      </w:r>
      <w:r w:rsidR="00C301C1">
        <w:rPr>
          <w:rFonts w:eastAsia="Times New Roman"/>
        </w:rPr>
        <w:t>o</w:t>
      </w:r>
      <w:r w:rsidRPr="006824CE">
        <w:rPr>
          <w:rFonts w:eastAsia="Times New Roman"/>
        </w:rPr>
        <w:t xml:space="preserve"> Waitangi (NAG 6)</w:t>
      </w:r>
    </w:p>
    <w:p w14:paraId="2D58D946" w14:textId="5F911280" w:rsidR="008D3BCC" w:rsidRDefault="006824CE" w:rsidP="00B32C9E">
      <w:pPr>
        <w:pStyle w:val="Heading2"/>
        <w:rPr>
          <w:rFonts w:eastAsia="Times New Roman"/>
        </w:rPr>
      </w:pPr>
      <w:r w:rsidRPr="006824CE">
        <w:rPr>
          <w:rFonts w:eastAsia="Times New Roman"/>
        </w:rPr>
        <w:t>Blind &amp; Low Vision Education Network NZ</w:t>
      </w:r>
    </w:p>
    <w:p w14:paraId="683A5436" w14:textId="1718AA57" w:rsidR="006824CE" w:rsidRDefault="006824CE" w:rsidP="00B32C9E">
      <w:pPr>
        <w:pStyle w:val="Heading2"/>
        <w:rPr>
          <w:rFonts w:eastAsia="Times New Roman"/>
        </w:rPr>
      </w:pPr>
      <w:r w:rsidRPr="006824CE">
        <w:rPr>
          <w:rFonts w:eastAsia="Times New Roman"/>
        </w:rPr>
        <w:t>Statement of Intent:</w:t>
      </w:r>
    </w:p>
    <w:p w14:paraId="6B79D6F2" w14:textId="77777777" w:rsidR="006824CE" w:rsidRPr="006824CE" w:rsidRDefault="006824CE" w:rsidP="006824CE">
      <w:pPr>
        <w:rPr>
          <w:rFonts w:eastAsia="Calibri" w:cs="Times New Roman"/>
          <w:kern w:val="0"/>
          <w14:ligatures w14:val="none"/>
        </w:rPr>
      </w:pPr>
      <w:r w:rsidRPr="006824CE">
        <w:rPr>
          <w:rFonts w:eastAsia="Calibri" w:cs="Times New Roman"/>
          <w:kern w:val="0"/>
          <w14:ligatures w14:val="none"/>
        </w:rPr>
        <w:t xml:space="preserve">The Blind and Low Vision Education Network NZ (BLENNZ) is committed to honouring </w:t>
      </w:r>
      <w:proofErr w:type="spellStart"/>
      <w:r w:rsidRPr="006824CE">
        <w:rPr>
          <w:rFonts w:eastAsia="Calibri" w:cs="Times New Roman"/>
          <w:kern w:val="0"/>
          <w14:ligatures w14:val="none"/>
        </w:rPr>
        <w:t>Te</w:t>
      </w:r>
      <w:proofErr w:type="spellEnd"/>
      <w:r w:rsidRPr="006824CE">
        <w:rPr>
          <w:rFonts w:eastAsia="Calibri" w:cs="Times New Roman"/>
          <w:kern w:val="0"/>
          <w14:ligatures w14:val="none"/>
        </w:rPr>
        <w:t xml:space="preserve"> </w:t>
      </w:r>
      <w:proofErr w:type="spellStart"/>
      <w:r w:rsidRPr="006824CE">
        <w:rPr>
          <w:rFonts w:eastAsia="Calibri" w:cs="Times New Roman"/>
          <w:kern w:val="0"/>
          <w14:ligatures w14:val="none"/>
        </w:rPr>
        <w:t>Tiriti</w:t>
      </w:r>
      <w:proofErr w:type="spellEnd"/>
      <w:r w:rsidRPr="006824CE">
        <w:rPr>
          <w:rFonts w:eastAsia="Calibri" w:cs="Times New Roman"/>
          <w:kern w:val="0"/>
          <w14:ligatures w14:val="none"/>
        </w:rPr>
        <w:t xml:space="preserve"> o Waitangi (The Treaty of Waitangi) and ensuring compliance with all relevant legislative requirements. This policy outlines the principles and actions BLENNZ will take to integrate the Treaty’s principles and meet its legal obligations.</w:t>
      </w:r>
    </w:p>
    <w:p w14:paraId="456B89AE" w14:textId="77639426" w:rsidR="006824CE" w:rsidRPr="006824CE" w:rsidRDefault="006824CE" w:rsidP="006824CE">
      <w:pPr>
        <w:rPr>
          <w:rFonts w:eastAsia="Calibri" w:cs="Times New Roman"/>
          <w:kern w:val="0"/>
          <w14:ligatures w14:val="none"/>
        </w:rPr>
      </w:pPr>
      <w:r w:rsidRPr="006824CE">
        <w:rPr>
          <w:rFonts w:eastAsia="Calibri" w:cs="Times New Roman"/>
          <w:kern w:val="0"/>
          <w14:ligatures w14:val="none"/>
        </w:rPr>
        <w:t xml:space="preserve">The two parties to this bicultural relationship are </w:t>
      </w:r>
      <w:proofErr w:type="spellStart"/>
      <w:r w:rsidRPr="006824CE">
        <w:rPr>
          <w:rFonts w:eastAsia="Calibri" w:cs="Times New Roman"/>
          <w:kern w:val="0"/>
          <w14:ligatures w14:val="none"/>
        </w:rPr>
        <w:t>tangata</w:t>
      </w:r>
      <w:proofErr w:type="spellEnd"/>
      <w:r w:rsidRPr="006824CE">
        <w:rPr>
          <w:rFonts w:eastAsia="Calibri" w:cs="Times New Roman"/>
          <w:kern w:val="0"/>
          <w14:ligatures w14:val="none"/>
        </w:rPr>
        <w:t xml:space="preserve"> whenua and </w:t>
      </w:r>
      <w:proofErr w:type="spellStart"/>
      <w:r w:rsidRPr="006824CE">
        <w:rPr>
          <w:rFonts w:eastAsia="Calibri" w:cs="Times New Roman"/>
          <w:kern w:val="0"/>
          <w14:ligatures w14:val="none"/>
        </w:rPr>
        <w:t>tangata</w:t>
      </w:r>
      <w:proofErr w:type="spellEnd"/>
      <w:r w:rsidRPr="006824CE">
        <w:rPr>
          <w:rFonts w:eastAsia="Calibri" w:cs="Times New Roman"/>
          <w:kern w:val="0"/>
          <w14:ligatures w14:val="none"/>
        </w:rPr>
        <w:t xml:space="preserve"> </w:t>
      </w:r>
      <w:proofErr w:type="spellStart"/>
      <w:r w:rsidRPr="006824CE">
        <w:rPr>
          <w:rFonts w:eastAsia="Calibri" w:cs="Times New Roman"/>
          <w:kern w:val="0"/>
          <w14:ligatures w14:val="none"/>
        </w:rPr>
        <w:t>tiriti</w:t>
      </w:r>
      <w:proofErr w:type="spellEnd"/>
      <w:r w:rsidRPr="006824CE">
        <w:rPr>
          <w:rFonts w:eastAsia="Calibri" w:cs="Times New Roman"/>
          <w:kern w:val="0"/>
          <w14:ligatures w14:val="none"/>
        </w:rPr>
        <w:t xml:space="preserve">. For the BLENNZ Network </w:t>
      </w:r>
      <w:proofErr w:type="spellStart"/>
      <w:r w:rsidRPr="006824CE">
        <w:rPr>
          <w:rFonts w:eastAsia="Calibri" w:cs="Times New Roman"/>
          <w:kern w:val="0"/>
          <w14:ligatures w14:val="none"/>
        </w:rPr>
        <w:t>tangata</w:t>
      </w:r>
      <w:proofErr w:type="spellEnd"/>
      <w:r w:rsidRPr="006824CE">
        <w:rPr>
          <w:rFonts w:eastAsia="Calibri" w:cs="Times New Roman"/>
          <w:kern w:val="0"/>
          <w14:ligatures w14:val="none"/>
        </w:rPr>
        <w:t xml:space="preserve"> whenua are </w:t>
      </w:r>
      <w:proofErr w:type="spellStart"/>
      <w:r w:rsidRPr="006824CE">
        <w:rPr>
          <w:rFonts w:eastAsia="Calibri" w:cs="Times New Roman"/>
          <w:kern w:val="0"/>
          <w14:ligatures w14:val="none"/>
        </w:rPr>
        <w:t>ākonga</w:t>
      </w:r>
      <w:proofErr w:type="spellEnd"/>
      <w:r w:rsidRPr="006824CE">
        <w:rPr>
          <w:rFonts w:eastAsia="Calibri" w:cs="Times New Roman"/>
          <w:kern w:val="0"/>
          <w14:ligatures w14:val="none"/>
        </w:rPr>
        <w:t xml:space="preserve"> </w:t>
      </w:r>
      <w:proofErr w:type="spellStart"/>
      <w:r w:rsidR="005E0A6F">
        <w:rPr>
          <w:rFonts w:eastAsia="Calibri" w:cs="Times New Roman"/>
          <w:kern w:val="0"/>
          <w14:ligatures w14:val="none"/>
        </w:rPr>
        <w:t>K</w:t>
      </w:r>
      <w:r w:rsidRPr="006824CE">
        <w:rPr>
          <w:rFonts w:eastAsia="Calibri" w:cs="Times New Roman"/>
          <w:kern w:val="0"/>
          <w14:ligatures w14:val="none"/>
        </w:rPr>
        <w:t>āpo</w:t>
      </w:r>
      <w:proofErr w:type="spellEnd"/>
      <w:r w:rsidRPr="006824CE">
        <w:rPr>
          <w:rFonts w:eastAsia="Calibri" w:cs="Times New Roman"/>
          <w:kern w:val="0"/>
          <w14:ligatures w14:val="none"/>
        </w:rPr>
        <w:t xml:space="preserve"> Māori and their whānau (represented by </w:t>
      </w:r>
      <w:proofErr w:type="spellStart"/>
      <w:r w:rsidRPr="006824CE">
        <w:rPr>
          <w:rFonts w:eastAsia="Calibri" w:cs="Times New Roman"/>
          <w:kern w:val="0"/>
          <w14:ligatures w14:val="none"/>
        </w:rPr>
        <w:t>Kāpō</w:t>
      </w:r>
      <w:proofErr w:type="spellEnd"/>
      <w:r w:rsidRPr="006824CE">
        <w:rPr>
          <w:rFonts w:eastAsia="Calibri" w:cs="Times New Roman"/>
          <w:kern w:val="0"/>
          <w14:ligatures w14:val="none"/>
        </w:rPr>
        <w:t xml:space="preserve"> Māori Aotearoa, </w:t>
      </w:r>
      <w:proofErr w:type="spellStart"/>
      <w:r w:rsidRPr="006824CE">
        <w:rPr>
          <w:rFonts w:eastAsia="Calibri" w:cs="Times New Roman"/>
          <w:kern w:val="0"/>
          <w14:ligatures w14:val="none"/>
        </w:rPr>
        <w:t>Te</w:t>
      </w:r>
      <w:proofErr w:type="spellEnd"/>
      <w:r w:rsidRPr="006824CE">
        <w:rPr>
          <w:rFonts w:eastAsia="Calibri" w:cs="Times New Roman"/>
          <w:kern w:val="0"/>
          <w14:ligatures w14:val="none"/>
        </w:rPr>
        <w:t xml:space="preserve"> Whānau o Homai and Kaumatua me </w:t>
      </w:r>
      <w:proofErr w:type="spellStart"/>
      <w:r w:rsidRPr="006824CE">
        <w:rPr>
          <w:rFonts w:eastAsia="Calibri" w:cs="Times New Roman"/>
          <w:kern w:val="0"/>
          <w14:ligatures w14:val="none"/>
        </w:rPr>
        <w:t>nga</w:t>
      </w:r>
      <w:proofErr w:type="spellEnd"/>
      <w:r w:rsidRPr="006824CE">
        <w:rPr>
          <w:rFonts w:eastAsia="Calibri" w:cs="Times New Roman"/>
          <w:kern w:val="0"/>
          <w14:ligatures w14:val="none"/>
        </w:rPr>
        <w:t xml:space="preserve"> Kuia o Manurewa Marae) and </w:t>
      </w:r>
      <w:proofErr w:type="spellStart"/>
      <w:r w:rsidRPr="006824CE">
        <w:rPr>
          <w:rFonts w:eastAsia="Calibri" w:cs="Times New Roman"/>
          <w:kern w:val="0"/>
          <w14:ligatures w14:val="none"/>
        </w:rPr>
        <w:t>tangata</w:t>
      </w:r>
      <w:proofErr w:type="spellEnd"/>
      <w:r w:rsidRPr="006824CE">
        <w:rPr>
          <w:rFonts w:eastAsia="Calibri" w:cs="Times New Roman"/>
          <w:kern w:val="0"/>
          <w14:ligatures w14:val="none"/>
        </w:rPr>
        <w:t xml:space="preserve"> </w:t>
      </w:r>
      <w:proofErr w:type="spellStart"/>
      <w:r w:rsidRPr="006824CE">
        <w:rPr>
          <w:rFonts w:eastAsia="Calibri" w:cs="Times New Roman"/>
          <w:kern w:val="0"/>
          <w14:ligatures w14:val="none"/>
        </w:rPr>
        <w:t>tiriti</w:t>
      </w:r>
      <w:proofErr w:type="spellEnd"/>
      <w:r w:rsidRPr="006824CE">
        <w:rPr>
          <w:rFonts w:eastAsia="Calibri" w:cs="Times New Roman"/>
          <w:kern w:val="0"/>
          <w14:ligatures w14:val="none"/>
        </w:rPr>
        <w:t xml:space="preserve"> are the Board of Trustees (represented by the </w:t>
      </w:r>
      <w:proofErr w:type="gramStart"/>
      <w:r w:rsidRPr="006824CE">
        <w:rPr>
          <w:rFonts w:eastAsia="Calibri" w:cs="Times New Roman"/>
          <w:kern w:val="0"/>
          <w14:ligatures w14:val="none"/>
        </w:rPr>
        <w:t>Principal</w:t>
      </w:r>
      <w:proofErr w:type="gramEnd"/>
      <w:r w:rsidRPr="006824CE">
        <w:rPr>
          <w:rFonts w:eastAsia="Calibri" w:cs="Times New Roman"/>
          <w:kern w:val="0"/>
          <w14:ligatures w14:val="none"/>
        </w:rPr>
        <w:t xml:space="preserve"> and staff).</w:t>
      </w:r>
    </w:p>
    <w:p w14:paraId="2160B3C1" w14:textId="77777777" w:rsidR="006824CE" w:rsidRPr="006824CE" w:rsidRDefault="006824CE" w:rsidP="006824CE">
      <w:pPr>
        <w:rPr>
          <w:rFonts w:eastAsia="Calibri" w:cs="Times New Roman"/>
          <w:kern w:val="0"/>
          <w14:ligatures w14:val="none"/>
        </w:rPr>
      </w:pPr>
      <w:r w:rsidRPr="006824CE">
        <w:rPr>
          <w:rFonts w:eastAsia="Calibri" w:cs="Times New Roman"/>
          <w:kern w:val="0"/>
          <w14:ligatures w14:val="none"/>
        </w:rPr>
        <w:t>BLENNZ will uphold the values of:</w:t>
      </w:r>
    </w:p>
    <w:p w14:paraId="15DCAED6" w14:textId="77777777" w:rsidR="006824CE" w:rsidRPr="006824CE" w:rsidRDefault="006824CE" w:rsidP="006824CE">
      <w:pPr>
        <w:numPr>
          <w:ilvl w:val="0"/>
          <w:numId w:val="1"/>
        </w:numPr>
        <w:contextualSpacing/>
        <w:rPr>
          <w:rFonts w:eastAsia="Calibri" w:cs="Times New Roman"/>
          <w:kern w:val="0"/>
          <w14:ligatures w14:val="none"/>
        </w:rPr>
      </w:pPr>
      <w:r w:rsidRPr="006824CE">
        <w:rPr>
          <w:rFonts w:eastAsia="Calibri" w:cs="Times New Roman"/>
          <w:kern w:val="0"/>
          <w14:ligatures w14:val="none"/>
        </w:rPr>
        <w:t>Whanaungatanga</w:t>
      </w:r>
    </w:p>
    <w:p w14:paraId="4E2BF24D" w14:textId="77777777" w:rsidR="006824CE" w:rsidRPr="006824CE" w:rsidRDefault="006824CE" w:rsidP="006824CE">
      <w:pPr>
        <w:numPr>
          <w:ilvl w:val="0"/>
          <w:numId w:val="1"/>
        </w:numPr>
        <w:contextualSpacing/>
        <w:rPr>
          <w:rFonts w:eastAsia="Calibri" w:cs="Times New Roman"/>
          <w:kern w:val="0"/>
          <w14:ligatures w14:val="none"/>
        </w:rPr>
      </w:pPr>
      <w:proofErr w:type="spellStart"/>
      <w:r w:rsidRPr="006824CE">
        <w:rPr>
          <w:rFonts w:eastAsia="Calibri" w:cs="Times New Roman"/>
          <w:kern w:val="0"/>
          <w14:ligatures w14:val="none"/>
        </w:rPr>
        <w:t>Manaakitanga</w:t>
      </w:r>
      <w:proofErr w:type="spellEnd"/>
    </w:p>
    <w:p w14:paraId="06FB5469" w14:textId="77777777" w:rsidR="006824CE" w:rsidRPr="006824CE" w:rsidRDefault="006824CE" w:rsidP="006824CE">
      <w:pPr>
        <w:numPr>
          <w:ilvl w:val="0"/>
          <w:numId w:val="1"/>
        </w:numPr>
        <w:contextualSpacing/>
        <w:rPr>
          <w:rFonts w:eastAsia="Calibri" w:cs="Times New Roman"/>
          <w:kern w:val="0"/>
          <w14:ligatures w14:val="none"/>
        </w:rPr>
      </w:pPr>
      <w:proofErr w:type="spellStart"/>
      <w:r w:rsidRPr="006824CE">
        <w:rPr>
          <w:rFonts w:eastAsia="Calibri" w:cs="Times New Roman"/>
          <w:kern w:val="0"/>
          <w14:ligatures w14:val="none"/>
        </w:rPr>
        <w:t>Awhinatanga</w:t>
      </w:r>
      <w:proofErr w:type="spellEnd"/>
    </w:p>
    <w:p w14:paraId="72E1EADA" w14:textId="77777777" w:rsidR="006824CE" w:rsidRPr="006824CE" w:rsidRDefault="006824CE" w:rsidP="006824CE">
      <w:pPr>
        <w:numPr>
          <w:ilvl w:val="0"/>
          <w:numId w:val="1"/>
        </w:numPr>
        <w:contextualSpacing/>
        <w:rPr>
          <w:rFonts w:eastAsia="Calibri" w:cs="Times New Roman"/>
          <w:kern w:val="0"/>
          <w14:ligatures w14:val="none"/>
        </w:rPr>
      </w:pPr>
      <w:r w:rsidRPr="006824CE">
        <w:rPr>
          <w:rFonts w:eastAsia="Calibri" w:cs="Times New Roman"/>
          <w:kern w:val="0"/>
          <w14:ligatures w14:val="none"/>
        </w:rPr>
        <w:t>Kotahitanga</w:t>
      </w:r>
    </w:p>
    <w:p w14:paraId="5FFB9B90" w14:textId="77777777" w:rsidR="006824CE" w:rsidRDefault="006824CE" w:rsidP="006824CE">
      <w:pPr>
        <w:numPr>
          <w:ilvl w:val="0"/>
          <w:numId w:val="1"/>
        </w:numPr>
        <w:contextualSpacing/>
        <w:rPr>
          <w:rFonts w:eastAsia="Calibri" w:cs="Times New Roman"/>
          <w:kern w:val="0"/>
          <w14:ligatures w14:val="none"/>
        </w:rPr>
      </w:pPr>
      <w:proofErr w:type="spellStart"/>
      <w:r w:rsidRPr="006824CE">
        <w:rPr>
          <w:rFonts w:eastAsia="Calibri" w:cs="Times New Roman"/>
          <w:kern w:val="0"/>
          <w14:ligatures w14:val="none"/>
        </w:rPr>
        <w:t>Ako</w:t>
      </w:r>
      <w:proofErr w:type="spellEnd"/>
    </w:p>
    <w:p w14:paraId="21E72B60" w14:textId="77777777" w:rsidR="006824CE" w:rsidRPr="006824CE" w:rsidRDefault="006824CE" w:rsidP="006824CE">
      <w:pPr>
        <w:contextualSpacing/>
        <w:rPr>
          <w:rFonts w:eastAsia="Calibri" w:cs="Times New Roman"/>
          <w:kern w:val="0"/>
          <w14:ligatures w14:val="none"/>
        </w:rPr>
      </w:pPr>
    </w:p>
    <w:p w14:paraId="528BD295" w14:textId="77777777" w:rsidR="006824CE" w:rsidRPr="006824CE" w:rsidRDefault="006824CE" w:rsidP="006824CE">
      <w:pPr>
        <w:rPr>
          <w:rFonts w:eastAsia="Calibri" w:cs="Times New Roman"/>
          <w:kern w:val="0"/>
          <w14:ligatures w14:val="none"/>
        </w:rPr>
      </w:pPr>
      <w:r w:rsidRPr="006824CE">
        <w:rPr>
          <w:rFonts w:eastAsia="Calibri" w:cs="Times New Roman"/>
          <w:kern w:val="0"/>
          <w14:ligatures w14:val="none"/>
        </w:rPr>
        <w:t>This policy underpins all other BLENNZ policies.</w:t>
      </w:r>
    </w:p>
    <w:p w14:paraId="3F2CD8B5" w14:textId="77777777" w:rsidR="006824CE" w:rsidRPr="006824CE" w:rsidRDefault="006824CE" w:rsidP="00B32C9E">
      <w:pPr>
        <w:pStyle w:val="Heading2"/>
        <w:rPr>
          <w:rFonts w:eastAsia="Times New Roman"/>
        </w:rPr>
      </w:pPr>
      <w:r w:rsidRPr="006824CE">
        <w:rPr>
          <w:rFonts w:eastAsia="Times New Roman"/>
        </w:rPr>
        <w:t>Policy Requirements:</w:t>
      </w:r>
    </w:p>
    <w:p w14:paraId="2FB1EA27" w14:textId="4A4581F5" w:rsidR="006824CE" w:rsidRPr="006824CE" w:rsidRDefault="006824CE" w:rsidP="006824CE">
      <w:pPr>
        <w:rPr>
          <w:rFonts w:eastAsia="Calibri" w:cs="Times New Roman"/>
          <w:kern w:val="0"/>
          <w14:ligatures w14:val="none"/>
        </w:rPr>
      </w:pPr>
      <w:r w:rsidRPr="006824CE">
        <w:rPr>
          <w:rFonts w:eastAsia="Calibri" w:cs="Times New Roman"/>
          <w:kern w:val="0"/>
          <w14:ligatures w14:val="none"/>
        </w:rPr>
        <w:t xml:space="preserve">To uphold the principles of </w:t>
      </w:r>
      <w:proofErr w:type="spellStart"/>
      <w:r w:rsidRPr="006824CE">
        <w:rPr>
          <w:rFonts w:eastAsia="Calibri" w:cs="Times New Roman"/>
          <w:kern w:val="0"/>
          <w14:ligatures w14:val="none"/>
        </w:rPr>
        <w:t>Te</w:t>
      </w:r>
      <w:proofErr w:type="spellEnd"/>
      <w:r w:rsidR="00B32C9E">
        <w:rPr>
          <w:rFonts w:eastAsia="Calibri" w:cs="Times New Roman"/>
          <w:kern w:val="0"/>
          <w14:ligatures w14:val="none"/>
        </w:rPr>
        <w:t xml:space="preserve"> </w:t>
      </w:r>
      <w:proofErr w:type="spellStart"/>
      <w:r w:rsidRPr="006824CE">
        <w:rPr>
          <w:rFonts w:eastAsia="Calibri" w:cs="Times New Roman"/>
          <w:kern w:val="0"/>
          <w14:ligatures w14:val="none"/>
        </w:rPr>
        <w:t>Tiriti</w:t>
      </w:r>
      <w:proofErr w:type="spellEnd"/>
      <w:r w:rsidRPr="006824CE">
        <w:rPr>
          <w:rFonts w:eastAsia="Calibri" w:cs="Times New Roman"/>
          <w:kern w:val="0"/>
          <w14:ligatures w14:val="none"/>
        </w:rPr>
        <w:t xml:space="preserve"> o Waitangi in all aspects of BLENNZ</w:t>
      </w:r>
      <w:r w:rsidR="00B32C9E">
        <w:rPr>
          <w:rFonts w:eastAsia="Calibri" w:cs="Times New Roman"/>
          <w:kern w:val="0"/>
          <w14:ligatures w14:val="none"/>
        </w:rPr>
        <w:t xml:space="preserve"> </w:t>
      </w:r>
      <w:r w:rsidRPr="006824CE">
        <w:rPr>
          <w:rFonts w:eastAsia="Calibri" w:cs="Times New Roman"/>
          <w:kern w:val="0"/>
          <w14:ligatures w14:val="none"/>
        </w:rPr>
        <w:t>operations.</w:t>
      </w:r>
    </w:p>
    <w:p w14:paraId="5770AB2A" w14:textId="77777777" w:rsidR="006824CE" w:rsidRPr="006824CE" w:rsidRDefault="006824CE" w:rsidP="006824CE">
      <w:pPr>
        <w:rPr>
          <w:rFonts w:eastAsia="Calibri" w:cs="Times New Roman"/>
          <w:kern w:val="0"/>
          <w14:ligatures w14:val="none"/>
        </w:rPr>
      </w:pPr>
      <w:r w:rsidRPr="006824CE">
        <w:rPr>
          <w:rFonts w:eastAsia="Calibri" w:cs="Times New Roman"/>
          <w:kern w:val="0"/>
          <w14:ligatures w14:val="none"/>
        </w:rPr>
        <w:t>To ensure compliance with relevant New Zealand legislation.</w:t>
      </w:r>
    </w:p>
    <w:p w14:paraId="186351A9" w14:textId="4432A47F" w:rsidR="006824CE" w:rsidRPr="006824CE" w:rsidRDefault="006824CE" w:rsidP="006824CE">
      <w:pPr>
        <w:rPr>
          <w:rFonts w:eastAsia="Calibri" w:cs="Times New Roman"/>
          <w:kern w:val="0"/>
          <w14:ligatures w14:val="none"/>
        </w:rPr>
      </w:pPr>
      <w:r w:rsidRPr="006824CE">
        <w:rPr>
          <w:rFonts w:eastAsia="Calibri" w:cs="Times New Roman"/>
          <w:kern w:val="0"/>
          <w14:ligatures w14:val="none"/>
        </w:rPr>
        <w:t xml:space="preserve">To promote and protect the rights and interests of Māori </w:t>
      </w:r>
      <w:proofErr w:type="spellStart"/>
      <w:r w:rsidR="00FF14D4">
        <w:rPr>
          <w:rFonts w:eastAsia="Calibri" w:cs="Times New Roman"/>
          <w:kern w:val="0"/>
          <w14:ligatures w14:val="none"/>
        </w:rPr>
        <w:t>ākonga</w:t>
      </w:r>
      <w:proofErr w:type="spellEnd"/>
      <w:r w:rsidRPr="006824CE">
        <w:rPr>
          <w:rFonts w:eastAsia="Calibri" w:cs="Times New Roman"/>
          <w:kern w:val="0"/>
          <w14:ligatures w14:val="none"/>
        </w:rPr>
        <w:t xml:space="preserve"> and their whānau.</w:t>
      </w:r>
    </w:p>
    <w:p w14:paraId="35408D59" w14:textId="77777777" w:rsidR="006824CE" w:rsidRPr="006824CE" w:rsidRDefault="006824CE" w:rsidP="006824CE">
      <w:pPr>
        <w:rPr>
          <w:rFonts w:eastAsia="Calibri" w:cs="Times New Roman"/>
          <w:kern w:val="0"/>
          <w14:ligatures w14:val="none"/>
        </w:rPr>
      </w:pPr>
      <w:r w:rsidRPr="006824CE">
        <w:rPr>
          <w:rFonts w:eastAsia="Calibri" w:cs="Times New Roman"/>
          <w:kern w:val="0"/>
          <w14:ligatures w14:val="none"/>
        </w:rPr>
        <w:t>To foster an inclusive and culturally responsive environment.</w:t>
      </w:r>
    </w:p>
    <w:p w14:paraId="4E3390D6" w14:textId="19287166" w:rsidR="006824CE" w:rsidRPr="006824CE" w:rsidRDefault="006824CE" w:rsidP="006824CE">
      <w:pPr>
        <w:rPr>
          <w:rFonts w:eastAsia="Calibri" w:cs="Times New Roman"/>
          <w:kern w:val="0"/>
          <w14:ligatures w14:val="none"/>
        </w:rPr>
      </w:pPr>
    </w:p>
    <w:p w14:paraId="7EE0CCC9" w14:textId="77777777" w:rsidR="006824CE" w:rsidRPr="006824CE" w:rsidRDefault="006824CE" w:rsidP="006824CE">
      <w:pPr>
        <w:rPr>
          <w:rFonts w:eastAsia="Times New Roman" w:cs="Times New Roman"/>
          <w:b/>
          <w:kern w:val="0"/>
          <w:sz w:val="32"/>
          <w:szCs w:val="26"/>
          <w14:ligatures w14:val="none"/>
        </w:rPr>
      </w:pPr>
      <w:r w:rsidRPr="006824CE">
        <w:rPr>
          <w:rFonts w:eastAsia="Times New Roman" w:cs="Times New Roman"/>
          <w:b/>
          <w:kern w:val="0"/>
          <w:sz w:val="32"/>
          <w:szCs w:val="26"/>
          <w14:ligatures w14:val="none"/>
        </w:rPr>
        <w:lastRenderedPageBreak/>
        <w:t xml:space="preserve">BLENNZ recognises the following principles of </w:t>
      </w:r>
      <w:proofErr w:type="spellStart"/>
      <w:r w:rsidRPr="006824CE">
        <w:rPr>
          <w:rFonts w:eastAsia="Times New Roman" w:cs="Times New Roman"/>
          <w:b/>
          <w:kern w:val="0"/>
          <w:sz w:val="32"/>
          <w:szCs w:val="26"/>
          <w14:ligatures w14:val="none"/>
        </w:rPr>
        <w:t>Te</w:t>
      </w:r>
      <w:proofErr w:type="spellEnd"/>
      <w:r w:rsidRPr="006824CE">
        <w:rPr>
          <w:rFonts w:eastAsia="Times New Roman" w:cs="Times New Roman"/>
          <w:b/>
          <w:kern w:val="0"/>
          <w:sz w:val="32"/>
          <w:szCs w:val="26"/>
          <w14:ligatures w14:val="none"/>
        </w:rPr>
        <w:t xml:space="preserve"> </w:t>
      </w:r>
      <w:proofErr w:type="spellStart"/>
      <w:r w:rsidRPr="006824CE">
        <w:rPr>
          <w:rFonts w:eastAsia="Times New Roman" w:cs="Times New Roman"/>
          <w:b/>
          <w:kern w:val="0"/>
          <w:sz w:val="32"/>
          <w:szCs w:val="26"/>
          <w14:ligatures w14:val="none"/>
        </w:rPr>
        <w:t>Tiriti</w:t>
      </w:r>
      <w:proofErr w:type="spellEnd"/>
      <w:r w:rsidRPr="006824CE">
        <w:rPr>
          <w:rFonts w:eastAsia="Times New Roman" w:cs="Times New Roman"/>
          <w:b/>
          <w:kern w:val="0"/>
          <w:sz w:val="32"/>
          <w:szCs w:val="26"/>
          <w14:ligatures w14:val="none"/>
        </w:rPr>
        <w:t xml:space="preserve"> o Waitangi:</w:t>
      </w:r>
    </w:p>
    <w:p w14:paraId="298FAA37" w14:textId="77777777" w:rsidR="006824CE" w:rsidRPr="006824CE" w:rsidRDefault="006824CE" w:rsidP="006824CE">
      <w:pPr>
        <w:rPr>
          <w:rFonts w:eastAsia="Calibri" w:cs="Times New Roman"/>
          <w:kern w:val="0"/>
          <w14:ligatures w14:val="none"/>
        </w:rPr>
      </w:pPr>
      <w:r w:rsidRPr="006824CE">
        <w:rPr>
          <w:rFonts w:eastAsia="Calibri" w:cs="Times New Roman"/>
          <w:kern w:val="0"/>
          <w14:ligatures w14:val="none"/>
        </w:rPr>
        <w:t>Partnership: Establishing and maintaining active, reciprocal relationships with Māori.</w:t>
      </w:r>
    </w:p>
    <w:p w14:paraId="0781DAA6" w14:textId="77C524C7" w:rsidR="006824CE" w:rsidRPr="006824CE" w:rsidRDefault="006824CE" w:rsidP="006824CE">
      <w:pPr>
        <w:rPr>
          <w:rFonts w:eastAsia="Calibri" w:cs="Times New Roman"/>
          <w:kern w:val="0"/>
          <w14:ligatures w14:val="none"/>
        </w:rPr>
      </w:pPr>
      <w:r w:rsidRPr="006824CE">
        <w:rPr>
          <w:rFonts w:eastAsia="Calibri" w:cs="Times New Roman"/>
          <w:kern w:val="0"/>
          <w14:ligatures w14:val="none"/>
        </w:rPr>
        <w:t xml:space="preserve">Protection: Ensuring Māori </w:t>
      </w:r>
      <w:proofErr w:type="spellStart"/>
      <w:r w:rsidR="00FF14D4">
        <w:rPr>
          <w:rFonts w:eastAsia="Calibri" w:cs="Times New Roman"/>
          <w:kern w:val="0"/>
          <w14:ligatures w14:val="none"/>
        </w:rPr>
        <w:t>ākonga</w:t>
      </w:r>
      <w:proofErr w:type="spellEnd"/>
      <w:r w:rsidR="00FF14D4" w:rsidRPr="006824CE">
        <w:rPr>
          <w:rFonts w:eastAsia="Calibri" w:cs="Times New Roman"/>
          <w:kern w:val="0"/>
          <w14:ligatures w14:val="none"/>
        </w:rPr>
        <w:t xml:space="preserve"> </w:t>
      </w:r>
      <w:r w:rsidRPr="006824CE">
        <w:rPr>
          <w:rFonts w:eastAsia="Calibri" w:cs="Times New Roman"/>
          <w:kern w:val="0"/>
          <w14:ligatures w14:val="none"/>
        </w:rPr>
        <w:t>and staff have the same rights and access to resources as non-Māori.</w:t>
      </w:r>
    </w:p>
    <w:p w14:paraId="1BADBD8A" w14:textId="77777777" w:rsidR="006824CE" w:rsidRPr="006824CE" w:rsidRDefault="006824CE" w:rsidP="006824CE">
      <w:pPr>
        <w:rPr>
          <w:rFonts w:eastAsia="Calibri" w:cs="Times New Roman"/>
          <w:kern w:val="0"/>
          <w14:ligatures w14:val="none"/>
        </w:rPr>
      </w:pPr>
      <w:r w:rsidRPr="006824CE">
        <w:rPr>
          <w:rFonts w:eastAsia="Calibri" w:cs="Times New Roman"/>
          <w:kern w:val="0"/>
          <w14:ligatures w14:val="none"/>
        </w:rPr>
        <w:t>Participation: Encouraging and supporting Māori involvement in decision-making processes and ensuring their voices are heard.</w:t>
      </w:r>
    </w:p>
    <w:p w14:paraId="734D298D" w14:textId="77777777" w:rsidR="006824CE" w:rsidRPr="006824CE" w:rsidRDefault="006824CE" w:rsidP="00B32C9E">
      <w:pPr>
        <w:pStyle w:val="Heading2"/>
        <w:rPr>
          <w:rFonts w:eastAsia="Times New Roman"/>
        </w:rPr>
      </w:pPr>
      <w:r w:rsidRPr="006824CE">
        <w:rPr>
          <w:rFonts w:eastAsia="Times New Roman"/>
        </w:rPr>
        <w:t>Policy Statements</w:t>
      </w:r>
    </w:p>
    <w:p w14:paraId="723FFEEE" w14:textId="77777777" w:rsidR="006824CE" w:rsidRPr="006824CE" w:rsidRDefault="006824CE" w:rsidP="00B32C9E">
      <w:pPr>
        <w:pStyle w:val="Heading3"/>
        <w:rPr>
          <w:rFonts w:eastAsia="Calibri"/>
        </w:rPr>
      </w:pPr>
      <w:r w:rsidRPr="006824CE">
        <w:rPr>
          <w:rFonts w:eastAsia="Calibri"/>
        </w:rPr>
        <w:t>Partnership</w:t>
      </w:r>
    </w:p>
    <w:p w14:paraId="27AC9456" w14:textId="47A47789" w:rsidR="006824CE" w:rsidRPr="006824CE" w:rsidRDefault="006824CE" w:rsidP="006824CE">
      <w:pPr>
        <w:pStyle w:val="ListParagraph"/>
        <w:numPr>
          <w:ilvl w:val="0"/>
          <w:numId w:val="2"/>
        </w:numPr>
        <w:rPr>
          <w:rFonts w:eastAsia="Calibri" w:cs="Times New Roman"/>
          <w:kern w:val="0"/>
          <w14:ligatures w14:val="none"/>
        </w:rPr>
      </w:pPr>
      <w:r w:rsidRPr="006824CE">
        <w:rPr>
          <w:rFonts w:eastAsia="Calibri" w:cs="Times New Roman"/>
          <w:kern w:val="0"/>
          <w14:ligatures w14:val="none"/>
        </w:rPr>
        <w:t xml:space="preserve">Engagement and Collaboration: BLENNZ will engage with Māori communities, iwi, and organisations to build strong, respectful partnerships. This includes regular consultations and collaboration on matters affecting Māori </w:t>
      </w:r>
      <w:proofErr w:type="spellStart"/>
      <w:r w:rsidR="00FF14D4">
        <w:rPr>
          <w:rFonts w:eastAsia="Calibri" w:cs="Times New Roman"/>
          <w:kern w:val="0"/>
          <w14:ligatures w14:val="none"/>
        </w:rPr>
        <w:t>ākonga</w:t>
      </w:r>
      <w:proofErr w:type="spellEnd"/>
      <w:r w:rsidRPr="006824CE">
        <w:rPr>
          <w:rFonts w:eastAsia="Calibri" w:cs="Times New Roman"/>
          <w:kern w:val="0"/>
          <w14:ligatures w14:val="none"/>
        </w:rPr>
        <w:t>.</w:t>
      </w:r>
    </w:p>
    <w:p w14:paraId="22C37937" w14:textId="77777777" w:rsidR="006824CE" w:rsidRPr="006824CE" w:rsidRDefault="006824CE" w:rsidP="006824CE">
      <w:pPr>
        <w:pStyle w:val="ListParagraph"/>
        <w:numPr>
          <w:ilvl w:val="0"/>
          <w:numId w:val="2"/>
        </w:numPr>
        <w:rPr>
          <w:rFonts w:eastAsia="Calibri" w:cs="Times New Roman"/>
          <w:kern w:val="0"/>
          <w14:ligatures w14:val="none"/>
        </w:rPr>
      </w:pPr>
      <w:r w:rsidRPr="006824CE">
        <w:rPr>
          <w:rFonts w:eastAsia="Calibri" w:cs="Times New Roman"/>
          <w:kern w:val="0"/>
          <w14:ligatures w14:val="none"/>
        </w:rPr>
        <w:t>Decision-Making: Māori will be actively involved in governance and decision-making processes within BLENNZ. This will be facilitated through representation on boards and committees.</w:t>
      </w:r>
    </w:p>
    <w:p w14:paraId="400E01E1" w14:textId="77777777" w:rsidR="006824CE" w:rsidRPr="006824CE" w:rsidRDefault="006824CE" w:rsidP="00B32C9E">
      <w:pPr>
        <w:pStyle w:val="Heading3"/>
        <w:rPr>
          <w:rFonts w:eastAsia="Calibri"/>
        </w:rPr>
      </w:pPr>
      <w:r w:rsidRPr="006824CE">
        <w:rPr>
          <w:rFonts w:eastAsia="Calibri"/>
        </w:rPr>
        <w:t>Protection</w:t>
      </w:r>
    </w:p>
    <w:p w14:paraId="46D943B8" w14:textId="03992C09" w:rsidR="006824CE" w:rsidRPr="006824CE" w:rsidRDefault="006824CE" w:rsidP="006824CE">
      <w:pPr>
        <w:pStyle w:val="ListParagraph"/>
        <w:numPr>
          <w:ilvl w:val="0"/>
          <w:numId w:val="3"/>
        </w:numPr>
        <w:rPr>
          <w:rFonts w:eastAsia="Calibri" w:cs="Times New Roman"/>
          <w:kern w:val="0"/>
          <w14:ligatures w14:val="none"/>
        </w:rPr>
      </w:pPr>
      <w:r w:rsidRPr="006824CE">
        <w:rPr>
          <w:rFonts w:eastAsia="Calibri" w:cs="Times New Roman"/>
          <w:kern w:val="0"/>
          <w14:ligatures w14:val="none"/>
        </w:rPr>
        <w:t>Cultural Safety: BLENNZ will ensure that the cultural identity and values of Māori students and staff are respected and protected. This includes providing professional development for staff on cultural competency</w:t>
      </w:r>
      <w:r w:rsidR="00B32C9E">
        <w:rPr>
          <w:rFonts w:eastAsia="Calibri" w:cs="Times New Roman"/>
          <w:kern w:val="0"/>
          <w14:ligatures w14:val="none"/>
        </w:rPr>
        <w:t>, tikanga</w:t>
      </w:r>
      <w:r w:rsidRPr="006824CE">
        <w:rPr>
          <w:rFonts w:eastAsia="Calibri" w:cs="Times New Roman"/>
          <w:kern w:val="0"/>
          <w14:ligatures w14:val="none"/>
        </w:rPr>
        <w:t xml:space="preserve"> and </w:t>
      </w:r>
      <w:proofErr w:type="spellStart"/>
      <w:r w:rsidRPr="006824CE">
        <w:rPr>
          <w:rFonts w:eastAsia="Calibri" w:cs="Times New Roman"/>
          <w:kern w:val="0"/>
          <w14:ligatures w14:val="none"/>
        </w:rPr>
        <w:t>te</w:t>
      </w:r>
      <w:proofErr w:type="spellEnd"/>
      <w:r w:rsidRPr="006824CE">
        <w:rPr>
          <w:rFonts w:eastAsia="Calibri" w:cs="Times New Roman"/>
          <w:kern w:val="0"/>
          <w14:ligatures w14:val="none"/>
        </w:rPr>
        <w:t xml:space="preserve"> </w:t>
      </w:r>
      <w:proofErr w:type="spellStart"/>
      <w:r w:rsidRPr="006824CE">
        <w:rPr>
          <w:rFonts w:eastAsia="Calibri" w:cs="Times New Roman"/>
          <w:kern w:val="0"/>
          <w14:ligatures w14:val="none"/>
        </w:rPr>
        <w:t>reo</w:t>
      </w:r>
      <w:proofErr w:type="spellEnd"/>
      <w:r w:rsidRPr="006824CE">
        <w:rPr>
          <w:rFonts w:eastAsia="Calibri" w:cs="Times New Roman"/>
          <w:kern w:val="0"/>
          <w14:ligatures w14:val="none"/>
        </w:rPr>
        <w:t xml:space="preserve"> Māori.</w:t>
      </w:r>
    </w:p>
    <w:p w14:paraId="1807CE2D" w14:textId="5DFA919D" w:rsidR="006824CE" w:rsidRPr="006824CE" w:rsidRDefault="006824CE" w:rsidP="006824CE">
      <w:pPr>
        <w:pStyle w:val="ListParagraph"/>
        <w:numPr>
          <w:ilvl w:val="0"/>
          <w:numId w:val="3"/>
        </w:numPr>
        <w:rPr>
          <w:rFonts w:eastAsia="Calibri" w:cs="Times New Roman"/>
          <w:kern w:val="0"/>
          <w14:ligatures w14:val="none"/>
        </w:rPr>
      </w:pPr>
      <w:r w:rsidRPr="006824CE">
        <w:rPr>
          <w:rFonts w:eastAsia="Calibri" w:cs="Times New Roman"/>
          <w:kern w:val="0"/>
          <w14:ligatures w14:val="none"/>
        </w:rPr>
        <w:t xml:space="preserve">Resource Allocation: Resources will be allocated to support the educational needs and aspirations of Māori </w:t>
      </w:r>
      <w:proofErr w:type="spellStart"/>
      <w:r w:rsidR="00FF14D4">
        <w:rPr>
          <w:rFonts w:eastAsia="Calibri" w:cs="Times New Roman"/>
          <w:kern w:val="0"/>
          <w14:ligatures w14:val="none"/>
        </w:rPr>
        <w:t>ākonga</w:t>
      </w:r>
      <w:proofErr w:type="spellEnd"/>
      <w:r w:rsidRPr="006824CE">
        <w:rPr>
          <w:rFonts w:eastAsia="Calibri" w:cs="Times New Roman"/>
          <w:kern w:val="0"/>
          <w14:ligatures w14:val="none"/>
        </w:rPr>
        <w:t>, ensuring equitable access and outcomes.</w:t>
      </w:r>
    </w:p>
    <w:p w14:paraId="7E7D5023" w14:textId="77777777" w:rsidR="006824CE" w:rsidRPr="006824CE" w:rsidRDefault="006824CE" w:rsidP="00B32C9E">
      <w:pPr>
        <w:pStyle w:val="Heading3"/>
        <w:rPr>
          <w:rFonts w:eastAsia="Calibri"/>
        </w:rPr>
      </w:pPr>
      <w:r w:rsidRPr="006824CE">
        <w:rPr>
          <w:rFonts w:eastAsia="Calibri"/>
        </w:rPr>
        <w:t>Participation</w:t>
      </w:r>
    </w:p>
    <w:p w14:paraId="2A2DA27B" w14:textId="53657C6F" w:rsidR="006824CE" w:rsidRPr="006824CE" w:rsidRDefault="006824CE" w:rsidP="006824CE">
      <w:pPr>
        <w:pStyle w:val="ListParagraph"/>
        <w:numPr>
          <w:ilvl w:val="0"/>
          <w:numId w:val="4"/>
        </w:numPr>
        <w:rPr>
          <w:rFonts w:eastAsia="Calibri" w:cs="Times New Roman"/>
          <w:kern w:val="0"/>
          <w14:ligatures w14:val="none"/>
        </w:rPr>
      </w:pPr>
      <w:r w:rsidRPr="006824CE">
        <w:rPr>
          <w:rFonts w:eastAsia="Calibri" w:cs="Times New Roman"/>
          <w:kern w:val="0"/>
          <w14:ligatures w14:val="none"/>
        </w:rPr>
        <w:t xml:space="preserve">Inclusive Practices: BLENNZ will develop and implement inclusive policies and practices that encourage the active participation of Māori </w:t>
      </w:r>
      <w:proofErr w:type="spellStart"/>
      <w:r w:rsidR="00FF14D4">
        <w:rPr>
          <w:rFonts w:eastAsia="Calibri" w:cs="Times New Roman"/>
          <w:kern w:val="0"/>
          <w14:ligatures w14:val="none"/>
        </w:rPr>
        <w:t>ākonga</w:t>
      </w:r>
      <w:proofErr w:type="spellEnd"/>
      <w:r w:rsidR="00FF14D4" w:rsidRPr="006824CE">
        <w:rPr>
          <w:rFonts w:eastAsia="Calibri" w:cs="Times New Roman"/>
          <w:kern w:val="0"/>
          <w14:ligatures w14:val="none"/>
        </w:rPr>
        <w:t xml:space="preserve"> </w:t>
      </w:r>
      <w:r w:rsidRPr="006824CE">
        <w:rPr>
          <w:rFonts w:eastAsia="Calibri" w:cs="Times New Roman"/>
          <w:kern w:val="0"/>
          <w14:ligatures w14:val="none"/>
        </w:rPr>
        <w:t>and their whānau in educational activities.</w:t>
      </w:r>
    </w:p>
    <w:p w14:paraId="33BF211A" w14:textId="2D7D4281" w:rsidR="006824CE" w:rsidRPr="006824CE" w:rsidRDefault="006824CE" w:rsidP="006824CE">
      <w:pPr>
        <w:pStyle w:val="ListParagraph"/>
        <w:numPr>
          <w:ilvl w:val="0"/>
          <w:numId w:val="4"/>
        </w:numPr>
        <w:rPr>
          <w:rFonts w:eastAsia="Calibri" w:cs="Times New Roman"/>
          <w:kern w:val="0"/>
          <w14:ligatures w14:val="none"/>
        </w:rPr>
      </w:pPr>
      <w:r w:rsidRPr="006824CE">
        <w:rPr>
          <w:rFonts w:eastAsia="Calibri" w:cs="Times New Roman"/>
          <w:kern w:val="0"/>
          <w14:ligatures w14:val="none"/>
        </w:rPr>
        <w:lastRenderedPageBreak/>
        <w:t xml:space="preserve">Support and Advocacy: BLENNZ will provide support and advocacy services for Māori </w:t>
      </w:r>
      <w:proofErr w:type="spellStart"/>
      <w:r w:rsidR="00FF14D4">
        <w:rPr>
          <w:rFonts w:eastAsia="Calibri" w:cs="Times New Roman"/>
          <w:kern w:val="0"/>
          <w14:ligatures w14:val="none"/>
        </w:rPr>
        <w:t>ākonga</w:t>
      </w:r>
      <w:proofErr w:type="spellEnd"/>
      <w:r w:rsidR="00FF14D4" w:rsidRPr="006824CE">
        <w:rPr>
          <w:rFonts w:eastAsia="Calibri" w:cs="Times New Roman"/>
          <w:kern w:val="0"/>
          <w14:ligatures w14:val="none"/>
        </w:rPr>
        <w:t xml:space="preserve"> </w:t>
      </w:r>
      <w:r w:rsidRPr="006824CE">
        <w:rPr>
          <w:rFonts w:eastAsia="Calibri" w:cs="Times New Roman"/>
          <w:kern w:val="0"/>
          <w14:ligatures w14:val="none"/>
        </w:rPr>
        <w:t>and their families to ensure they have the information and assistance needed to participate fully in the education system.</w:t>
      </w:r>
    </w:p>
    <w:p w14:paraId="4665A2CF" w14:textId="419EB248" w:rsidR="006824CE" w:rsidRPr="006824CE" w:rsidRDefault="006824CE" w:rsidP="00B32C9E">
      <w:pPr>
        <w:pStyle w:val="Heading2"/>
        <w:rPr>
          <w:rFonts w:eastAsia="Times New Roman"/>
        </w:rPr>
      </w:pPr>
      <w:r w:rsidRPr="006824CE">
        <w:rPr>
          <w:rFonts w:eastAsia="Times New Roman"/>
        </w:rPr>
        <w:t>Legislative Compliance</w:t>
      </w:r>
    </w:p>
    <w:p w14:paraId="4423BA2A" w14:textId="77777777" w:rsidR="006824CE" w:rsidRPr="006824CE" w:rsidRDefault="006824CE" w:rsidP="006824CE">
      <w:pPr>
        <w:rPr>
          <w:rFonts w:eastAsia="Calibri" w:cs="Times New Roman"/>
          <w:kern w:val="0"/>
          <w14:ligatures w14:val="none"/>
        </w:rPr>
      </w:pPr>
      <w:r w:rsidRPr="006824CE">
        <w:rPr>
          <w:rFonts w:eastAsia="Calibri" w:cs="Times New Roman"/>
          <w:kern w:val="0"/>
          <w14:ligatures w14:val="none"/>
        </w:rPr>
        <w:t>BLENNZ is committed to complying with all relevant legislation, including but not limited to:</w:t>
      </w:r>
    </w:p>
    <w:p w14:paraId="6C136C15" w14:textId="77777777" w:rsidR="006824CE" w:rsidRPr="006824CE" w:rsidRDefault="006824CE" w:rsidP="006824CE">
      <w:pPr>
        <w:pStyle w:val="ListParagraph"/>
        <w:numPr>
          <w:ilvl w:val="0"/>
          <w:numId w:val="5"/>
        </w:numPr>
        <w:rPr>
          <w:rFonts w:eastAsia="Calibri" w:cs="Times New Roman"/>
          <w:kern w:val="0"/>
          <w14:ligatures w14:val="none"/>
        </w:rPr>
      </w:pPr>
      <w:r w:rsidRPr="006824CE">
        <w:rPr>
          <w:rFonts w:eastAsia="Calibri" w:cs="Times New Roman"/>
          <w:kern w:val="0"/>
          <w14:ligatures w14:val="none"/>
        </w:rPr>
        <w:t>Education and Training Act 2020: Ensuring that educational services provided by BLENNZ meet the standards and requirements set out in the Act.</w:t>
      </w:r>
    </w:p>
    <w:p w14:paraId="40265BD6" w14:textId="77777777" w:rsidR="006824CE" w:rsidRPr="006824CE" w:rsidRDefault="006824CE" w:rsidP="006824CE">
      <w:pPr>
        <w:pStyle w:val="ListParagraph"/>
        <w:numPr>
          <w:ilvl w:val="0"/>
          <w:numId w:val="5"/>
        </w:numPr>
        <w:rPr>
          <w:rFonts w:eastAsia="Calibri" w:cs="Times New Roman"/>
          <w:kern w:val="0"/>
          <w14:ligatures w14:val="none"/>
        </w:rPr>
      </w:pPr>
      <w:r w:rsidRPr="006824CE">
        <w:rPr>
          <w:rFonts w:eastAsia="Calibri" w:cs="Times New Roman"/>
          <w:kern w:val="0"/>
          <w14:ligatures w14:val="none"/>
        </w:rPr>
        <w:t>Human Rights Act 1993: Promoting an environment free from discrimination and ensuring equal opportunities for all students and staff.</w:t>
      </w:r>
    </w:p>
    <w:p w14:paraId="1A9E0479" w14:textId="77777777" w:rsidR="006824CE" w:rsidRPr="006824CE" w:rsidRDefault="006824CE" w:rsidP="006824CE">
      <w:pPr>
        <w:pStyle w:val="ListParagraph"/>
        <w:numPr>
          <w:ilvl w:val="0"/>
          <w:numId w:val="5"/>
        </w:numPr>
        <w:rPr>
          <w:rFonts w:eastAsia="Calibri" w:cs="Times New Roman"/>
          <w:kern w:val="0"/>
          <w14:ligatures w14:val="none"/>
        </w:rPr>
      </w:pPr>
      <w:r w:rsidRPr="006824CE">
        <w:rPr>
          <w:rFonts w:eastAsia="Calibri" w:cs="Times New Roman"/>
          <w:kern w:val="0"/>
          <w14:ligatures w14:val="none"/>
        </w:rPr>
        <w:t>New Zealand Bill of Rights Act 1990: Upholding the rights and freedoms of individuals as outlined in the Act.</w:t>
      </w:r>
    </w:p>
    <w:p w14:paraId="3B1E66BB" w14:textId="77777777" w:rsidR="006824CE" w:rsidRPr="006824CE" w:rsidRDefault="006824CE" w:rsidP="006824CE">
      <w:pPr>
        <w:pStyle w:val="ListParagraph"/>
        <w:numPr>
          <w:ilvl w:val="0"/>
          <w:numId w:val="5"/>
        </w:numPr>
        <w:rPr>
          <w:rFonts w:eastAsia="Calibri" w:cs="Times New Roman"/>
          <w:kern w:val="0"/>
          <w14:ligatures w14:val="none"/>
        </w:rPr>
      </w:pPr>
      <w:r w:rsidRPr="006824CE">
        <w:rPr>
          <w:rFonts w:eastAsia="Calibri" w:cs="Times New Roman"/>
          <w:kern w:val="0"/>
          <w14:ligatures w14:val="none"/>
        </w:rPr>
        <w:t>Health and Safety at Work Act 2015: Providing a safe and healthy environment for students, staff, and visitors.</w:t>
      </w:r>
    </w:p>
    <w:p w14:paraId="1857E66F" w14:textId="77777777" w:rsidR="006824CE" w:rsidRPr="006824CE" w:rsidRDefault="006824CE" w:rsidP="00B32C9E">
      <w:pPr>
        <w:pStyle w:val="Heading2"/>
        <w:rPr>
          <w:rFonts w:eastAsia="Times New Roman"/>
        </w:rPr>
      </w:pPr>
      <w:r w:rsidRPr="006824CE">
        <w:rPr>
          <w:rFonts w:eastAsia="Times New Roman"/>
        </w:rPr>
        <w:t>Implementation and Monitoring</w:t>
      </w:r>
    </w:p>
    <w:p w14:paraId="7F2FE346" w14:textId="77777777" w:rsidR="006824CE" w:rsidRPr="006824CE" w:rsidRDefault="006824CE" w:rsidP="006824CE">
      <w:pPr>
        <w:rPr>
          <w:rFonts w:eastAsia="Calibri" w:cs="Times New Roman"/>
          <w:kern w:val="0"/>
          <w14:ligatures w14:val="none"/>
        </w:rPr>
      </w:pPr>
      <w:r w:rsidRPr="006824CE">
        <w:rPr>
          <w:rFonts w:eastAsia="Calibri" w:cs="Times New Roman"/>
          <w:kern w:val="0"/>
          <w14:ligatures w14:val="none"/>
        </w:rPr>
        <w:t xml:space="preserve">Training and Development: All staff will receive training on the principles of </w:t>
      </w:r>
      <w:proofErr w:type="spellStart"/>
      <w:r w:rsidRPr="006824CE">
        <w:rPr>
          <w:rFonts w:eastAsia="Calibri" w:cs="Times New Roman"/>
          <w:kern w:val="0"/>
          <w14:ligatures w14:val="none"/>
        </w:rPr>
        <w:t>Te</w:t>
      </w:r>
      <w:proofErr w:type="spellEnd"/>
      <w:r w:rsidRPr="006824CE">
        <w:rPr>
          <w:rFonts w:eastAsia="Calibri" w:cs="Times New Roman"/>
          <w:kern w:val="0"/>
          <w14:ligatures w14:val="none"/>
        </w:rPr>
        <w:t xml:space="preserve"> </w:t>
      </w:r>
      <w:proofErr w:type="spellStart"/>
      <w:r w:rsidRPr="006824CE">
        <w:rPr>
          <w:rFonts w:eastAsia="Calibri" w:cs="Times New Roman"/>
          <w:kern w:val="0"/>
          <w14:ligatures w14:val="none"/>
        </w:rPr>
        <w:t>Tiriti</w:t>
      </w:r>
      <w:proofErr w:type="spellEnd"/>
      <w:r w:rsidRPr="006824CE">
        <w:rPr>
          <w:rFonts w:eastAsia="Calibri" w:cs="Times New Roman"/>
          <w:kern w:val="0"/>
          <w14:ligatures w14:val="none"/>
        </w:rPr>
        <w:t xml:space="preserve"> o Waitangi and relevant legislative requirements. This will be included in induction programs and ongoing professional development.</w:t>
      </w:r>
    </w:p>
    <w:p w14:paraId="6B2EE20C" w14:textId="0D05A671" w:rsidR="006824CE" w:rsidRPr="006824CE" w:rsidRDefault="006824CE" w:rsidP="006824CE">
      <w:pPr>
        <w:rPr>
          <w:rFonts w:eastAsia="Calibri" w:cs="Times New Roman"/>
          <w:kern w:val="0"/>
          <w14:ligatures w14:val="none"/>
        </w:rPr>
      </w:pPr>
      <w:r w:rsidRPr="006824CE">
        <w:rPr>
          <w:rFonts w:eastAsia="Calibri" w:cs="Times New Roman"/>
          <w:kern w:val="0"/>
          <w14:ligatures w14:val="none"/>
        </w:rPr>
        <w:t xml:space="preserve">Policy Review: This policy will be reviewed </w:t>
      </w:r>
      <w:r>
        <w:rPr>
          <w:rFonts w:eastAsia="Calibri" w:cs="Times New Roman"/>
          <w:kern w:val="0"/>
          <w14:ligatures w14:val="none"/>
        </w:rPr>
        <w:t>every three years</w:t>
      </w:r>
      <w:r w:rsidRPr="006824CE">
        <w:rPr>
          <w:rFonts w:eastAsia="Calibri" w:cs="Times New Roman"/>
          <w:kern w:val="0"/>
          <w14:ligatures w14:val="none"/>
        </w:rPr>
        <w:t xml:space="preserve"> to ensure it remains relevant and effective. Feedback from Māori communities and other stakeholders will be considered in the review process.</w:t>
      </w:r>
    </w:p>
    <w:p w14:paraId="00A2DCAD" w14:textId="6057F388" w:rsidR="006824CE" w:rsidRPr="006824CE" w:rsidRDefault="006824CE" w:rsidP="006824CE">
      <w:pPr>
        <w:rPr>
          <w:rFonts w:eastAsia="Calibri" w:cs="Times New Roman"/>
          <w:kern w:val="0"/>
          <w14:ligatures w14:val="none"/>
        </w:rPr>
      </w:pPr>
      <w:r w:rsidRPr="006824CE">
        <w:rPr>
          <w:rFonts w:eastAsia="Calibri" w:cs="Times New Roman"/>
          <w:kern w:val="0"/>
          <w14:ligatures w14:val="none"/>
        </w:rPr>
        <w:t xml:space="preserve">Reporting: </w:t>
      </w:r>
      <w:r w:rsidR="00B35EF2">
        <w:rPr>
          <w:rFonts w:eastAsia="Calibri" w:cs="Times New Roman"/>
          <w:kern w:val="0"/>
          <w14:ligatures w14:val="none"/>
        </w:rPr>
        <w:t>Twice yearly</w:t>
      </w:r>
      <w:r w:rsidRPr="006824CE">
        <w:rPr>
          <w:rFonts w:eastAsia="Calibri" w:cs="Times New Roman"/>
          <w:kern w:val="0"/>
          <w14:ligatures w14:val="none"/>
        </w:rPr>
        <w:t xml:space="preserve"> reports on the implementation of this policy and compliance with legislative requirements will be provided to the BLENNZ Board and relevant stakeholders</w:t>
      </w:r>
      <w:r w:rsidR="00B32C9E">
        <w:rPr>
          <w:rFonts w:eastAsia="Calibri" w:cs="Times New Roman"/>
          <w:kern w:val="0"/>
          <w14:ligatures w14:val="none"/>
        </w:rPr>
        <w:t xml:space="preserve"> and tabled with Board meeting minutes.</w:t>
      </w:r>
    </w:p>
    <w:p w14:paraId="02F88522" w14:textId="77777777" w:rsidR="006824CE" w:rsidRPr="006824CE" w:rsidRDefault="006824CE" w:rsidP="00B32C9E">
      <w:pPr>
        <w:pStyle w:val="Heading2"/>
        <w:rPr>
          <w:rFonts w:eastAsia="Times New Roman"/>
        </w:rPr>
      </w:pPr>
      <w:r w:rsidRPr="006824CE">
        <w:rPr>
          <w:rFonts w:eastAsia="Times New Roman"/>
        </w:rPr>
        <w:t>Conclusion</w:t>
      </w:r>
    </w:p>
    <w:p w14:paraId="2119570A" w14:textId="666A1E10" w:rsidR="006824CE" w:rsidRDefault="006824CE" w:rsidP="006824CE">
      <w:pPr>
        <w:rPr>
          <w:rFonts w:eastAsia="Calibri" w:cs="Times New Roman"/>
          <w:kern w:val="0"/>
          <w14:ligatures w14:val="none"/>
        </w:rPr>
      </w:pPr>
      <w:r w:rsidRPr="006824CE">
        <w:rPr>
          <w:rFonts w:eastAsia="Calibri" w:cs="Times New Roman"/>
          <w:kern w:val="0"/>
          <w14:ligatures w14:val="none"/>
        </w:rPr>
        <w:t xml:space="preserve">BLENNZ is dedicated to honouring </w:t>
      </w:r>
      <w:proofErr w:type="spellStart"/>
      <w:r w:rsidRPr="006824CE">
        <w:rPr>
          <w:rFonts w:eastAsia="Calibri" w:cs="Times New Roman"/>
          <w:kern w:val="0"/>
          <w14:ligatures w14:val="none"/>
        </w:rPr>
        <w:t>Te</w:t>
      </w:r>
      <w:proofErr w:type="spellEnd"/>
      <w:r w:rsidRPr="006824CE">
        <w:rPr>
          <w:rFonts w:eastAsia="Calibri" w:cs="Times New Roman"/>
          <w:kern w:val="0"/>
          <w14:ligatures w14:val="none"/>
        </w:rPr>
        <w:t xml:space="preserve"> </w:t>
      </w:r>
      <w:proofErr w:type="spellStart"/>
      <w:r w:rsidRPr="006824CE">
        <w:rPr>
          <w:rFonts w:eastAsia="Calibri" w:cs="Times New Roman"/>
          <w:kern w:val="0"/>
          <w14:ligatures w14:val="none"/>
        </w:rPr>
        <w:t>Tiriti</w:t>
      </w:r>
      <w:proofErr w:type="spellEnd"/>
      <w:r w:rsidRPr="006824CE">
        <w:rPr>
          <w:rFonts w:eastAsia="Calibri" w:cs="Times New Roman"/>
          <w:kern w:val="0"/>
          <w14:ligatures w14:val="none"/>
        </w:rPr>
        <w:t xml:space="preserve"> o Waitangi and meeting its legislative obligations. By embedding the principles of partnership, protection, and participation into its practices, BLENNZ aims to create an inclusive and supportive environment for all students, particularly Māori, and ensure compliance with New Zealand law.</w:t>
      </w:r>
    </w:p>
    <w:p w14:paraId="45E94EDD" w14:textId="77777777" w:rsidR="006824CE" w:rsidRPr="006824CE" w:rsidRDefault="006824CE" w:rsidP="00B32C9E">
      <w:pPr>
        <w:pStyle w:val="Heading2"/>
        <w:rPr>
          <w:rFonts w:eastAsia="Times New Roman"/>
        </w:rPr>
      </w:pPr>
      <w:r w:rsidRPr="006824CE">
        <w:rPr>
          <w:rFonts w:eastAsia="Times New Roman"/>
        </w:rPr>
        <w:lastRenderedPageBreak/>
        <w:t>Supporting Documents:</w:t>
      </w:r>
    </w:p>
    <w:p w14:paraId="2283608F" w14:textId="77777777" w:rsidR="006824CE" w:rsidRPr="006824CE" w:rsidRDefault="000D4183" w:rsidP="006824CE">
      <w:pPr>
        <w:rPr>
          <w:rFonts w:eastAsia="Calibri" w:cs="Times New Roman"/>
          <w:kern w:val="0"/>
          <w14:ligatures w14:val="none"/>
        </w:rPr>
      </w:pPr>
      <w:hyperlink r:id="rId10" w:history="1">
        <w:r w:rsidR="006824CE" w:rsidRPr="006824CE">
          <w:rPr>
            <w:rFonts w:eastAsia="Calibri" w:cs="Times New Roman"/>
            <w:color w:val="0563C1"/>
            <w:kern w:val="0"/>
            <w:u w:val="single"/>
            <w14:ligatures w14:val="none"/>
          </w:rPr>
          <w:t>Ministry of Culture and Heritage Website</w:t>
        </w:r>
      </w:hyperlink>
    </w:p>
    <w:p w14:paraId="251C137C" w14:textId="77777777" w:rsidR="006824CE" w:rsidRPr="006824CE" w:rsidRDefault="000D4183" w:rsidP="006824CE">
      <w:pPr>
        <w:rPr>
          <w:rFonts w:eastAsia="Calibri" w:cs="Times New Roman"/>
          <w:kern w:val="0"/>
          <w14:ligatures w14:val="none"/>
        </w:rPr>
      </w:pPr>
      <w:hyperlink r:id="rId11" w:history="1">
        <w:r w:rsidR="006824CE" w:rsidRPr="006824CE">
          <w:rPr>
            <w:rFonts w:eastAsia="Calibri" w:cs="Times New Roman"/>
            <w:color w:val="0563C1"/>
            <w:kern w:val="0"/>
            <w:u w:val="single"/>
            <w14:ligatures w14:val="none"/>
          </w:rPr>
          <w:t>Website: Government and the Treaty of Waitangi</w:t>
        </w:r>
      </w:hyperlink>
    </w:p>
    <w:p w14:paraId="1F639007" w14:textId="58313C62" w:rsidR="00F366BE" w:rsidRDefault="000D4183">
      <w:pPr>
        <w:rPr>
          <w:rFonts w:eastAsia="Calibri" w:cs="Times New Roman"/>
          <w:kern w:val="0"/>
          <w14:ligatures w14:val="none"/>
        </w:rPr>
      </w:pPr>
      <w:hyperlink r:id="rId12" w:history="1">
        <w:r w:rsidR="006824CE" w:rsidRPr="006824CE">
          <w:rPr>
            <w:rFonts w:eastAsia="Calibri" w:cs="Times New Roman"/>
            <w:color w:val="0563C1"/>
            <w:kern w:val="0"/>
            <w:u w:val="single"/>
            <w14:ligatures w14:val="none"/>
          </w:rPr>
          <w:t>NZ History website: Māori and English Translations of the Treaty of Waitangi</w:t>
        </w:r>
      </w:hyperlink>
      <w:r w:rsidR="006824CE" w:rsidRPr="006824CE">
        <w:rPr>
          <w:rFonts w:eastAsia="Calibri" w:cs="Times New Roman"/>
          <w:kern w:val="0"/>
          <w14:ligatures w14:val="none"/>
        </w:rPr>
        <w:t xml:space="preserve"> </w:t>
      </w:r>
    </w:p>
    <w:p w14:paraId="49C929BC" w14:textId="77777777" w:rsidR="00B32C9E" w:rsidRDefault="00B32C9E">
      <w:pPr>
        <w:rPr>
          <w:rFonts w:eastAsia="Calibri" w:cs="Times New Roman"/>
          <w:kern w:val="0"/>
          <w14:ligatures w14:val="none"/>
        </w:rPr>
      </w:pPr>
    </w:p>
    <w:p w14:paraId="17C31E85" w14:textId="51213299" w:rsidR="00B32C9E" w:rsidRDefault="00B32C9E">
      <w:pPr>
        <w:rPr>
          <w:rFonts w:eastAsia="Calibri" w:cs="Times New Roman"/>
          <w:kern w:val="0"/>
          <w14:ligatures w14:val="none"/>
        </w:rPr>
      </w:pPr>
      <w:r>
        <w:rPr>
          <w:rFonts w:eastAsia="Calibri" w:cs="Times New Roman"/>
          <w:kern w:val="0"/>
          <w14:ligatures w14:val="none"/>
        </w:rPr>
        <w:t>Approved:</w:t>
      </w:r>
      <w:r w:rsidR="000D4183">
        <w:rPr>
          <w:rFonts w:eastAsia="Calibri" w:cs="Times New Roman"/>
          <w:kern w:val="0"/>
          <w14:ligatures w14:val="none"/>
        </w:rPr>
        <w:tab/>
      </w:r>
      <w:r w:rsidR="000D4183">
        <w:rPr>
          <w:noProof/>
        </w:rPr>
        <w:drawing>
          <wp:inline distT="0" distB="0" distL="0" distR="0" wp14:anchorId="019F01B0" wp14:editId="5AAEEF4A">
            <wp:extent cx="1562100" cy="865176"/>
            <wp:effectExtent l="0" t="0" r="0" b="0"/>
            <wp:docPr id="1552773083" name="Picture 1" descr="Signature of Prin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773083" name="Picture 1" descr="Signature of Principal"/>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4356" cy="866425"/>
                    </a:xfrm>
                    <a:prstGeom prst="rect">
                      <a:avLst/>
                    </a:prstGeom>
                    <a:noFill/>
                    <a:ln>
                      <a:noFill/>
                    </a:ln>
                  </pic:spPr>
                </pic:pic>
              </a:graphicData>
            </a:graphic>
          </wp:inline>
        </w:drawing>
      </w:r>
    </w:p>
    <w:p w14:paraId="63716541" w14:textId="2B481804" w:rsidR="00B32C9E" w:rsidRDefault="00B32C9E">
      <w:pPr>
        <w:rPr>
          <w:rFonts w:eastAsia="Calibri" w:cs="Times New Roman"/>
          <w:kern w:val="0"/>
          <w14:ligatures w14:val="none"/>
        </w:rPr>
      </w:pPr>
      <w:r>
        <w:rPr>
          <w:rFonts w:eastAsia="Calibri" w:cs="Times New Roman"/>
          <w:kern w:val="0"/>
          <w14:ligatures w14:val="none"/>
        </w:rPr>
        <w:t>Date:</w:t>
      </w:r>
      <w:r w:rsidR="000D4183">
        <w:rPr>
          <w:rFonts w:eastAsia="Calibri" w:cs="Times New Roman"/>
          <w:kern w:val="0"/>
          <w14:ligatures w14:val="none"/>
        </w:rPr>
        <w:t xml:space="preserve"> 23 September 2024</w:t>
      </w:r>
    </w:p>
    <w:p w14:paraId="57B6B0B8" w14:textId="276F1BF0" w:rsidR="00B32C9E" w:rsidRPr="006824CE" w:rsidRDefault="00B32C9E">
      <w:pPr>
        <w:rPr>
          <w:rFonts w:eastAsia="Calibri" w:cs="Times New Roman"/>
          <w:kern w:val="0"/>
          <w14:ligatures w14:val="none"/>
        </w:rPr>
      </w:pPr>
      <w:r>
        <w:rPr>
          <w:rFonts w:eastAsia="Calibri" w:cs="Times New Roman"/>
          <w:kern w:val="0"/>
          <w14:ligatures w14:val="none"/>
        </w:rPr>
        <w:t>Next Review: 2027</w:t>
      </w:r>
    </w:p>
    <w:sectPr w:rsidR="00B32C9E" w:rsidRPr="006824CE">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810860" w14:textId="77777777" w:rsidR="00B32C9E" w:rsidRDefault="00B32C9E" w:rsidP="00B32C9E">
      <w:pPr>
        <w:spacing w:before="0" w:after="0" w:line="240" w:lineRule="auto"/>
      </w:pPr>
      <w:r>
        <w:separator/>
      </w:r>
    </w:p>
  </w:endnote>
  <w:endnote w:type="continuationSeparator" w:id="0">
    <w:p w14:paraId="4C818395" w14:textId="77777777" w:rsidR="00B32C9E" w:rsidRDefault="00B32C9E" w:rsidP="00B32C9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58005" w14:textId="156F8D70" w:rsidR="00B32C9E" w:rsidRDefault="00B32C9E">
    <w:pPr>
      <w:pStyle w:val="Footer"/>
      <w:rPr>
        <w:b/>
        <w:bCs/>
      </w:rPr>
    </w:pPr>
    <w:r>
      <w:t xml:space="preserve">OP6-02 </w:t>
    </w:r>
    <w:r w:rsidR="000D4183">
      <w:t xml:space="preserve">2024 </w:t>
    </w:r>
    <w:proofErr w:type="spellStart"/>
    <w:r>
      <w:t>Te</w:t>
    </w:r>
    <w:proofErr w:type="spellEnd"/>
    <w:r>
      <w:t xml:space="preserve"> </w:t>
    </w:r>
    <w:proofErr w:type="spellStart"/>
    <w:r>
      <w:t>Tiriti</w:t>
    </w:r>
    <w:proofErr w:type="spellEnd"/>
    <w:r>
      <w:t xml:space="preserve"> o Waitangi Policy</w:t>
    </w:r>
    <w:r>
      <w:tab/>
    </w: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p w14:paraId="4E50B3E7" w14:textId="314C3E77" w:rsidR="00B32C9E" w:rsidRPr="00B32C9E" w:rsidRDefault="00B32C9E">
    <w:pPr>
      <w:pStyle w:val="Footer"/>
    </w:pPr>
    <w:r w:rsidRPr="00B32C9E">
      <w:t xml:space="preserve">September 2024 </w:t>
    </w:r>
  </w:p>
  <w:p w14:paraId="74D774B9" w14:textId="77777777" w:rsidR="00B32C9E" w:rsidRDefault="00B32C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288078" w14:textId="77777777" w:rsidR="00B32C9E" w:rsidRDefault="00B32C9E" w:rsidP="00B32C9E">
      <w:pPr>
        <w:spacing w:before="0" w:after="0" w:line="240" w:lineRule="auto"/>
      </w:pPr>
      <w:r>
        <w:separator/>
      </w:r>
    </w:p>
  </w:footnote>
  <w:footnote w:type="continuationSeparator" w:id="0">
    <w:p w14:paraId="5410CD16" w14:textId="77777777" w:rsidR="00B32C9E" w:rsidRDefault="00B32C9E" w:rsidP="00B32C9E">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F32CB"/>
    <w:multiLevelType w:val="hybridMultilevel"/>
    <w:tmpl w:val="93C681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517457C"/>
    <w:multiLevelType w:val="hybridMultilevel"/>
    <w:tmpl w:val="F1E2FA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67A4DB7"/>
    <w:multiLevelType w:val="hybridMultilevel"/>
    <w:tmpl w:val="4CD637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C4E3269"/>
    <w:multiLevelType w:val="hybridMultilevel"/>
    <w:tmpl w:val="326E1D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79F7554C"/>
    <w:multiLevelType w:val="hybridMultilevel"/>
    <w:tmpl w:val="1DDA97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636689654">
    <w:abstractNumId w:val="2"/>
  </w:num>
  <w:num w:numId="2" w16cid:durableId="348601414">
    <w:abstractNumId w:val="0"/>
  </w:num>
  <w:num w:numId="3" w16cid:durableId="1564413696">
    <w:abstractNumId w:val="1"/>
  </w:num>
  <w:num w:numId="4" w16cid:durableId="944535077">
    <w:abstractNumId w:val="3"/>
  </w:num>
  <w:num w:numId="5" w16cid:durableId="8013406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4CE"/>
    <w:rsid w:val="00080F0D"/>
    <w:rsid w:val="000D4183"/>
    <w:rsid w:val="00126DAB"/>
    <w:rsid w:val="00166516"/>
    <w:rsid w:val="00240945"/>
    <w:rsid w:val="00271112"/>
    <w:rsid w:val="00393D87"/>
    <w:rsid w:val="003A0A83"/>
    <w:rsid w:val="00447102"/>
    <w:rsid w:val="004A54BE"/>
    <w:rsid w:val="00540752"/>
    <w:rsid w:val="0055312F"/>
    <w:rsid w:val="00574B83"/>
    <w:rsid w:val="005E0A6F"/>
    <w:rsid w:val="00671B46"/>
    <w:rsid w:val="006824CE"/>
    <w:rsid w:val="00695295"/>
    <w:rsid w:val="007A599A"/>
    <w:rsid w:val="007B0570"/>
    <w:rsid w:val="007C1E86"/>
    <w:rsid w:val="008A67A7"/>
    <w:rsid w:val="008D3BCC"/>
    <w:rsid w:val="008E6F46"/>
    <w:rsid w:val="009936A9"/>
    <w:rsid w:val="009D377F"/>
    <w:rsid w:val="009E4BF3"/>
    <w:rsid w:val="00A566EE"/>
    <w:rsid w:val="00B32C9E"/>
    <w:rsid w:val="00B35EF2"/>
    <w:rsid w:val="00B7183A"/>
    <w:rsid w:val="00BC3558"/>
    <w:rsid w:val="00C301C1"/>
    <w:rsid w:val="00C66F4F"/>
    <w:rsid w:val="00C9146F"/>
    <w:rsid w:val="00C91597"/>
    <w:rsid w:val="00CE4E3D"/>
    <w:rsid w:val="00E63A03"/>
    <w:rsid w:val="00ED0A1D"/>
    <w:rsid w:val="00ED0FCB"/>
    <w:rsid w:val="00EE34A8"/>
    <w:rsid w:val="00F366BE"/>
    <w:rsid w:val="00FF14D4"/>
    <w:rsid w:val="00FF493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A338C"/>
  <w15:chartTrackingRefBased/>
  <w15:docId w15:val="{866A10AC-79DC-447C-9F08-474335693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BF3"/>
    <w:pPr>
      <w:spacing w:before="100" w:beforeAutospacing="1" w:after="100" w:afterAutospacing="1" w:line="288" w:lineRule="auto"/>
    </w:pPr>
    <w:rPr>
      <w:rFonts w:ascii="Arial" w:hAnsi="Arial"/>
      <w:sz w:val="24"/>
    </w:rPr>
  </w:style>
  <w:style w:type="paragraph" w:styleId="Heading1">
    <w:name w:val="heading 1"/>
    <w:basedOn w:val="Normal"/>
    <w:next w:val="Normal"/>
    <w:link w:val="Heading1Char"/>
    <w:uiPriority w:val="9"/>
    <w:qFormat/>
    <w:rsid w:val="009E4BF3"/>
    <w:pPr>
      <w:keepNext/>
      <w:keepLines/>
      <w:outlineLvl w:val="0"/>
    </w:pPr>
    <w:rPr>
      <w:rFonts w:eastAsiaTheme="majorEastAsia" w:cstheme="majorBidi"/>
      <w:b/>
      <w:sz w:val="40"/>
      <w:szCs w:val="40"/>
    </w:rPr>
  </w:style>
  <w:style w:type="paragraph" w:styleId="Heading2">
    <w:name w:val="heading 2"/>
    <w:basedOn w:val="Normal"/>
    <w:next w:val="Normal"/>
    <w:link w:val="Heading2Char"/>
    <w:uiPriority w:val="9"/>
    <w:unhideWhenUsed/>
    <w:qFormat/>
    <w:rsid w:val="009E4BF3"/>
    <w:pPr>
      <w:keepNext/>
      <w:keepLines/>
      <w:outlineLvl w:val="1"/>
    </w:pPr>
    <w:rPr>
      <w:rFonts w:eastAsiaTheme="majorEastAsia" w:cstheme="majorBidi"/>
      <w:b/>
      <w:sz w:val="32"/>
      <w:szCs w:val="32"/>
    </w:rPr>
  </w:style>
  <w:style w:type="paragraph" w:styleId="Heading3">
    <w:name w:val="heading 3"/>
    <w:basedOn w:val="Normal"/>
    <w:next w:val="Normal"/>
    <w:link w:val="Heading3Char"/>
    <w:uiPriority w:val="9"/>
    <w:unhideWhenUsed/>
    <w:qFormat/>
    <w:rsid w:val="00B32C9E"/>
    <w:pPr>
      <w:keepNext/>
      <w:keepLines/>
      <w:spacing w:before="160" w:after="80"/>
      <w:outlineLvl w:val="2"/>
    </w:pPr>
    <w:rPr>
      <w:rFonts w:eastAsiaTheme="majorEastAsia" w:cstheme="majorBidi"/>
      <w:sz w:val="32"/>
      <w:szCs w:val="28"/>
    </w:rPr>
  </w:style>
  <w:style w:type="paragraph" w:styleId="Heading4">
    <w:name w:val="heading 4"/>
    <w:basedOn w:val="Normal"/>
    <w:next w:val="Normal"/>
    <w:link w:val="Heading4Char"/>
    <w:uiPriority w:val="9"/>
    <w:semiHidden/>
    <w:unhideWhenUsed/>
    <w:qFormat/>
    <w:rsid w:val="006824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24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24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24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24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24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4CE"/>
    <w:rPr>
      <w:rFonts w:ascii="Arial" w:eastAsiaTheme="majorEastAsia" w:hAnsi="Arial" w:cstheme="majorBidi"/>
      <w:b/>
      <w:sz w:val="40"/>
      <w:szCs w:val="40"/>
    </w:rPr>
  </w:style>
  <w:style w:type="character" w:customStyle="1" w:styleId="Heading2Char">
    <w:name w:val="Heading 2 Char"/>
    <w:basedOn w:val="DefaultParagraphFont"/>
    <w:link w:val="Heading2"/>
    <w:uiPriority w:val="9"/>
    <w:rsid w:val="006824CE"/>
    <w:rPr>
      <w:rFonts w:ascii="Arial" w:eastAsiaTheme="majorEastAsia" w:hAnsi="Arial" w:cstheme="majorBidi"/>
      <w:b/>
      <w:sz w:val="32"/>
      <w:szCs w:val="32"/>
    </w:rPr>
  </w:style>
  <w:style w:type="character" w:customStyle="1" w:styleId="Heading3Char">
    <w:name w:val="Heading 3 Char"/>
    <w:basedOn w:val="DefaultParagraphFont"/>
    <w:link w:val="Heading3"/>
    <w:uiPriority w:val="9"/>
    <w:rsid w:val="00B32C9E"/>
    <w:rPr>
      <w:rFonts w:ascii="Arial" w:eastAsiaTheme="majorEastAsia" w:hAnsi="Arial" w:cstheme="majorBidi"/>
      <w:sz w:val="32"/>
      <w:szCs w:val="28"/>
    </w:rPr>
  </w:style>
  <w:style w:type="character" w:customStyle="1" w:styleId="Heading4Char">
    <w:name w:val="Heading 4 Char"/>
    <w:basedOn w:val="DefaultParagraphFont"/>
    <w:link w:val="Heading4"/>
    <w:uiPriority w:val="9"/>
    <w:semiHidden/>
    <w:rsid w:val="006824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24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24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24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24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24CE"/>
    <w:rPr>
      <w:rFonts w:eastAsiaTheme="majorEastAsia" w:cstheme="majorBidi"/>
      <w:color w:val="272727" w:themeColor="text1" w:themeTint="D8"/>
    </w:rPr>
  </w:style>
  <w:style w:type="paragraph" w:styleId="Title">
    <w:name w:val="Title"/>
    <w:basedOn w:val="Normal"/>
    <w:next w:val="Normal"/>
    <w:link w:val="TitleChar"/>
    <w:uiPriority w:val="10"/>
    <w:qFormat/>
    <w:rsid w:val="006824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24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24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24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24CE"/>
    <w:pPr>
      <w:spacing w:before="160"/>
      <w:jc w:val="center"/>
    </w:pPr>
    <w:rPr>
      <w:i/>
      <w:iCs/>
      <w:color w:val="404040" w:themeColor="text1" w:themeTint="BF"/>
    </w:rPr>
  </w:style>
  <w:style w:type="character" w:customStyle="1" w:styleId="QuoteChar">
    <w:name w:val="Quote Char"/>
    <w:basedOn w:val="DefaultParagraphFont"/>
    <w:link w:val="Quote"/>
    <w:uiPriority w:val="29"/>
    <w:rsid w:val="006824CE"/>
    <w:rPr>
      <w:i/>
      <w:iCs/>
      <w:color w:val="404040" w:themeColor="text1" w:themeTint="BF"/>
    </w:rPr>
  </w:style>
  <w:style w:type="paragraph" w:styleId="ListParagraph">
    <w:name w:val="List Paragraph"/>
    <w:basedOn w:val="Normal"/>
    <w:uiPriority w:val="34"/>
    <w:qFormat/>
    <w:rsid w:val="006824CE"/>
    <w:pPr>
      <w:ind w:left="720"/>
      <w:contextualSpacing/>
    </w:pPr>
  </w:style>
  <w:style w:type="character" w:styleId="IntenseEmphasis">
    <w:name w:val="Intense Emphasis"/>
    <w:basedOn w:val="DefaultParagraphFont"/>
    <w:uiPriority w:val="21"/>
    <w:qFormat/>
    <w:rsid w:val="006824CE"/>
    <w:rPr>
      <w:i/>
      <w:iCs/>
      <w:color w:val="0F4761" w:themeColor="accent1" w:themeShade="BF"/>
    </w:rPr>
  </w:style>
  <w:style w:type="paragraph" w:styleId="IntenseQuote">
    <w:name w:val="Intense Quote"/>
    <w:basedOn w:val="Normal"/>
    <w:next w:val="Normal"/>
    <w:link w:val="IntenseQuoteChar"/>
    <w:uiPriority w:val="30"/>
    <w:qFormat/>
    <w:rsid w:val="006824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24CE"/>
    <w:rPr>
      <w:i/>
      <w:iCs/>
      <w:color w:val="0F4761" w:themeColor="accent1" w:themeShade="BF"/>
    </w:rPr>
  </w:style>
  <w:style w:type="character" w:styleId="IntenseReference">
    <w:name w:val="Intense Reference"/>
    <w:basedOn w:val="DefaultParagraphFont"/>
    <w:uiPriority w:val="32"/>
    <w:qFormat/>
    <w:rsid w:val="006824CE"/>
    <w:rPr>
      <w:b/>
      <w:bCs/>
      <w:smallCaps/>
      <w:color w:val="0F4761" w:themeColor="accent1" w:themeShade="BF"/>
      <w:spacing w:val="5"/>
    </w:rPr>
  </w:style>
  <w:style w:type="paragraph" w:styleId="Header">
    <w:name w:val="header"/>
    <w:basedOn w:val="Normal"/>
    <w:link w:val="HeaderChar"/>
    <w:uiPriority w:val="99"/>
    <w:unhideWhenUsed/>
    <w:rsid w:val="00B32C9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32C9E"/>
    <w:rPr>
      <w:rFonts w:ascii="Arial" w:hAnsi="Arial"/>
      <w:sz w:val="24"/>
    </w:rPr>
  </w:style>
  <w:style w:type="paragraph" w:styleId="Footer">
    <w:name w:val="footer"/>
    <w:basedOn w:val="Normal"/>
    <w:link w:val="FooterChar"/>
    <w:uiPriority w:val="99"/>
    <w:unhideWhenUsed/>
    <w:rsid w:val="00B32C9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32C9E"/>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7142009">
      <w:bodyDiv w:val="1"/>
      <w:marLeft w:val="0"/>
      <w:marRight w:val="0"/>
      <w:marTop w:val="0"/>
      <w:marBottom w:val="0"/>
      <w:divBdr>
        <w:top w:val="none" w:sz="0" w:space="0" w:color="auto"/>
        <w:left w:val="none" w:sz="0" w:space="0" w:color="auto"/>
        <w:bottom w:val="none" w:sz="0" w:space="0" w:color="auto"/>
        <w:right w:val="none" w:sz="0" w:space="0" w:color="auto"/>
      </w:divBdr>
      <w:divsChild>
        <w:div w:id="875891301">
          <w:marLeft w:val="0"/>
          <w:marRight w:val="0"/>
          <w:marTop w:val="0"/>
          <w:marBottom w:val="0"/>
          <w:divBdr>
            <w:top w:val="none" w:sz="0" w:space="0" w:color="auto"/>
            <w:left w:val="none" w:sz="0" w:space="0" w:color="auto"/>
            <w:bottom w:val="none" w:sz="0" w:space="0" w:color="auto"/>
            <w:right w:val="none" w:sz="0" w:space="0" w:color="auto"/>
          </w:divBdr>
          <w:divsChild>
            <w:div w:id="1151826740">
              <w:marLeft w:val="0"/>
              <w:marRight w:val="0"/>
              <w:marTop w:val="0"/>
              <w:marBottom w:val="0"/>
              <w:divBdr>
                <w:top w:val="none" w:sz="0" w:space="0" w:color="auto"/>
                <w:left w:val="none" w:sz="0" w:space="0" w:color="auto"/>
                <w:bottom w:val="none" w:sz="0" w:space="0" w:color="auto"/>
                <w:right w:val="none" w:sz="0" w:space="0" w:color="auto"/>
              </w:divBdr>
              <w:divsChild>
                <w:div w:id="1325010977">
                  <w:marLeft w:val="0"/>
                  <w:marRight w:val="0"/>
                  <w:marTop w:val="0"/>
                  <w:marBottom w:val="0"/>
                  <w:divBdr>
                    <w:top w:val="none" w:sz="0" w:space="0" w:color="auto"/>
                    <w:left w:val="none" w:sz="0" w:space="0" w:color="auto"/>
                    <w:bottom w:val="none" w:sz="0" w:space="0" w:color="auto"/>
                    <w:right w:val="none" w:sz="0" w:space="0" w:color="auto"/>
                  </w:divBdr>
                  <w:divsChild>
                    <w:div w:id="164431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9175">
          <w:marLeft w:val="0"/>
          <w:marRight w:val="0"/>
          <w:marTop w:val="0"/>
          <w:marBottom w:val="0"/>
          <w:divBdr>
            <w:top w:val="none" w:sz="0" w:space="0" w:color="auto"/>
            <w:left w:val="none" w:sz="0" w:space="0" w:color="auto"/>
            <w:bottom w:val="none" w:sz="0" w:space="0" w:color="auto"/>
            <w:right w:val="none" w:sz="0" w:space="0" w:color="auto"/>
          </w:divBdr>
          <w:divsChild>
            <w:div w:id="957026050">
              <w:marLeft w:val="0"/>
              <w:marRight w:val="0"/>
              <w:marTop w:val="0"/>
              <w:marBottom w:val="0"/>
              <w:divBdr>
                <w:top w:val="none" w:sz="0" w:space="0" w:color="auto"/>
                <w:left w:val="none" w:sz="0" w:space="0" w:color="auto"/>
                <w:bottom w:val="none" w:sz="0" w:space="0" w:color="auto"/>
                <w:right w:val="none" w:sz="0" w:space="0" w:color="auto"/>
              </w:divBdr>
              <w:divsChild>
                <w:div w:id="221866700">
                  <w:marLeft w:val="0"/>
                  <w:marRight w:val="0"/>
                  <w:marTop w:val="0"/>
                  <w:marBottom w:val="0"/>
                  <w:divBdr>
                    <w:top w:val="none" w:sz="0" w:space="0" w:color="auto"/>
                    <w:left w:val="none" w:sz="0" w:space="0" w:color="auto"/>
                    <w:bottom w:val="none" w:sz="0" w:space="0" w:color="auto"/>
                    <w:right w:val="none" w:sz="0" w:space="0" w:color="auto"/>
                  </w:divBdr>
                  <w:divsChild>
                    <w:div w:id="149228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zhistory.govt.nz/politics/treaty/read-the-treaty/english-tex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ewzealandnow.govt.nz/living-in-nz/history-government/the-treaty-of-waitangi"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mch.govt.nz/treatyofwaitang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a88ec04-25a7-4cd5-abd9-12b8e17c889a" xsi:nil="true"/>
    <lcf76f155ced4ddcb4097134ff3c332f xmlns="806377ac-65e5-4de6-a576-ed9bbd38d59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8AFE7FDFDE9A4AB6E02AB681311207" ma:contentTypeVersion="17" ma:contentTypeDescription="Create a new document." ma:contentTypeScope="" ma:versionID="9f94a924e0be7249bacb61a8710317e4">
  <xsd:schema xmlns:xsd="http://www.w3.org/2001/XMLSchema" xmlns:xs="http://www.w3.org/2001/XMLSchema" xmlns:p="http://schemas.microsoft.com/office/2006/metadata/properties" xmlns:ns2="806377ac-65e5-4de6-a576-ed9bbd38d598" xmlns:ns3="ba88ec04-25a7-4cd5-abd9-12b8e17c889a" targetNamespace="http://schemas.microsoft.com/office/2006/metadata/properties" ma:root="true" ma:fieldsID="0725e2904d30f64a24e38ce639ef44d0" ns2:_="" ns3:_="">
    <xsd:import namespace="806377ac-65e5-4de6-a576-ed9bbd38d598"/>
    <xsd:import namespace="ba88ec04-25a7-4cd5-abd9-12b8e17c88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377ac-65e5-4de6-a576-ed9bbd38d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e565da1-54a9-4074-83b6-4813805b07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88ec04-25a7-4cd5-abd9-12b8e17c889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0c4926-efbf-4569-80c0-f7dc9793ec97}" ma:internalName="TaxCatchAll" ma:showField="CatchAllData" ma:web="ba88ec04-25a7-4cd5-abd9-12b8e17c88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82C5B9-6F52-446D-9C23-6A98DCC60D49}">
  <ds:schemaRefs>
    <ds:schemaRef ds:uri="http://schemas.microsoft.com/sharepoint/v3/contenttype/forms"/>
  </ds:schemaRefs>
</ds:datastoreItem>
</file>

<file path=customXml/itemProps2.xml><?xml version="1.0" encoding="utf-8"?>
<ds:datastoreItem xmlns:ds="http://schemas.openxmlformats.org/officeDocument/2006/customXml" ds:itemID="{65E60227-31A1-4DD5-AAB0-F7B7CD521E4A}">
  <ds:schemaRefs>
    <ds:schemaRef ds:uri="http://schemas.microsoft.com/office/2006/documentManagement/types"/>
    <ds:schemaRef ds:uri="806377ac-65e5-4de6-a576-ed9bbd38d598"/>
    <ds:schemaRef ds:uri="http://schemas.microsoft.com/office/2006/metadata/properties"/>
    <ds:schemaRef ds:uri="http://schemas.openxmlformats.org/package/2006/metadata/core-properties"/>
    <ds:schemaRef ds:uri="http://purl.org/dc/elements/1.1/"/>
    <ds:schemaRef ds:uri="http://www.w3.org/XML/1998/namespace"/>
    <ds:schemaRef ds:uri="http://purl.org/dc/dcmitype/"/>
    <ds:schemaRef ds:uri="ba88ec04-25a7-4cd5-abd9-12b8e17c889a"/>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AAB626DF-A1DB-4AC8-891C-D814F32D1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377ac-65e5-4de6-a576-ed9bbd38d598"/>
    <ds:schemaRef ds:uri="ba88ec04-25a7-4cd5-abd9-12b8e17c8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746</Words>
  <Characters>4253</Characters>
  <Application>Microsoft Office Word</Application>
  <DocSecurity>0</DocSecurity>
  <Lines>35</Lines>
  <Paragraphs>9</Paragraphs>
  <ScaleCrop>false</ScaleCrop>
  <Company/>
  <LinksUpToDate>false</LinksUpToDate>
  <CharactersWithSpaces>4990</CharactersWithSpaces>
  <SharedDoc>false</SharedDoc>
  <HLinks>
    <vt:vector size="18" baseType="variant">
      <vt:variant>
        <vt:i4>3211318</vt:i4>
      </vt:variant>
      <vt:variant>
        <vt:i4>6</vt:i4>
      </vt:variant>
      <vt:variant>
        <vt:i4>0</vt:i4>
      </vt:variant>
      <vt:variant>
        <vt:i4>5</vt:i4>
      </vt:variant>
      <vt:variant>
        <vt:lpwstr>https://nzhistory.govt.nz/politics/treaty/read-the-treaty/english-text</vt:lpwstr>
      </vt:variant>
      <vt:variant>
        <vt:lpwstr/>
      </vt:variant>
      <vt:variant>
        <vt:i4>4980740</vt:i4>
      </vt:variant>
      <vt:variant>
        <vt:i4>3</vt:i4>
      </vt:variant>
      <vt:variant>
        <vt:i4>0</vt:i4>
      </vt:variant>
      <vt:variant>
        <vt:i4>5</vt:i4>
      </vt:variant>
      <vt:variant>
        <vt:lpwstr>https://www.newzealandnow.govt.nz/living-in-nz/history-government/the-treaty-of-waitangi</vt:lpwstr>
      </vt:variant>
      <vt:variant>
        <vt:lpwstr/>
      </vt:variant>
      <vt:variant>
        <vt:i4>1572882</vt:i4>
      </vt:variant>
      <vt:variant>
        <vt:i4>0</vt:i4>
      </vt:variant>
      <vt:variant>
        <vt:i4>0</vt:i4>
      </vt:variant>
      <vt:variant>
        <vt:i4>5</vt:i4>
      </vt:variant>
      <vt:variant>
        <vt:lpwstr>https://mch.govt.nz/treatyofwaitangi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Stewart</dc:creator>
  <cp:keywords/>
  <dc:description/>
  <cp:lastModifiedBy>Bridget Lamphee</cp:lastModifiedBy>
  <cp:revision>2</cp:revision>
  <cp:lastPrinted>2024-09-10T02:25:00Z</cp:lastPrinted>
  <dcterms:created xsi:type="dcterms:W3CDTF">2024-09-30T00:32:00Z</dcterms:created>
  <dcterms:modified xsi:type="dcterms:W3CDTF">2024-09-30T00:32:00Z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0x010100928AFE7FDFDE9A4AB6E02AB681311207</vt:lpwstr>
  </property>
  <property fmtid="{D5CDD505-2E9C-101B-9397-08002B2CF9AE}" pid="3" name="MediaServiceImageTags">
    <vt:lpwstr/>
  </property>
</Properties>
</file>